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0A0"/>
      </w:tblPr>
      <w:tblGrid>
        <w:gridCol w:w="9576"/>
      </w:tblGrid>
      <w:tr w:rsidR="0037201D">
        <w:trPr>
          <w:trHeight w:val="2880"/>
          <w:jc w:val="center"/>
        </w:trPr>
        <w:tc>
          <w:tcPr>
            <w:tcW w:w="5000" w:type="pct"/>
          </w:tcPr>
          <w:p w:rsidR="0037201D" w:rsidRDefault="0037201D">
            <w:pPr>
              <w:pStyle w:val="NoSpacing"/>
              <w:jc w:val="center"/>
              <w:rPr>
                <w:rFonts w:ascii="Cambria" w:hAnsi="Cambria"/>
                <w:caps/>
              </w:rPr>
            </w:pPr>
            <w:r>
              <w:rPr>
                <w:rFonts w:ascii="Cambria" w:hAnsi="Cambria"/>
                <w:caps/>
              </w:rPr>
              <w:t>Office of The Ohio Attorney General</w:t>
            </w:r>
          </w:p>
        </w:tc>
      </w:tr>
      <w:tr w:rsidR="0037201D">
        <w:trPr>
          <w:trHeight w:val="1440"/>
          <w:jc w:val="center"/>
        </w:trPr>
        <w:tc>
          <w:tcPr>
            <w:tcW w:w="5000" w:type="pct"/>
            <w:tcBorders>
              <w:bottom w:val="single" w:sz="4" w:space="0" w:color="4F81BD"/>
            </w:tcBorders>
            <w:vAlign w:val="center"/>
          </w:tcPr>
          <w:p w:rsidR="0037201D" w:rsidRDefault="0037201D">
            <w:pPr>
              <w:pStyle w:val="NoSpacing"/>
              <w:jc w:val="center"/>
              <w:rPr>
                <w:rFonts w:ascii="Cambria" w:hAnsi="Cambria"/>
                <w:sz w:val="80"/>
                <w:szCs w:val="80"/>
              </w:rPr>
            </w:pPr>
            <w:r>
              <w:rPr>
                <w:rFonts w:ascii="Cambria" w:hAnsi="Cambria"/>
                <w:sz w:val="48"/>
                <w:szCs w:val="48"/>
              </w:rPr>
              <w:t>Livescan Electronic Ten-print Interface Specification</w:t>
            </w:r>
          </w:p>
        </w:tc>
      </w:tr>
      <w:tr w:rsidR="0037201D">
        <w:trPr>
          <w:trHeight w:val="720"/>
          <w:jc w:val="center"/>
        </w:trPr>
        <w:tc>
          <w:tcPr>
            <w:tcW w:w="5000" w:type="pct"/>
            <w:tcBorders>
              <w:top w:val="single" w:sz="4" w:space="0" w:color="4F81BD"/>
            </w:tcBorders>
            <w:vAlign w:val="center"/>
          </w:tcPr>
          <w:p w:rsidR="0037201D" w:rsidRDefault="0037201D">
            <w:pPr>
              <w:pStyle w:val="NoSpacing"/>
              <w:jc w:val="center"/>
              <w:rPr>
                <w:rFonts w:ascii="Cambria" w:hAnsi="Cambria"/>
                <w:sz w:val="44"/>
                <w:szCs w:val="44"/>
              </w:rPr>
            </w:pPr>
            <w:r>
              <w:rPr>
                <w:rFonts w:ascii="Cambria" w:hAnsi="Cambria"/>
                <w:sz w:val="44"/>
                <w:szCs w:val="44"/>
              </w:rPr>
              <w:t>Version 8.1</w:t>
            </w:r>
          </w:p>
        </w:tc>
      </w:tr>
      <w:tr w:rsidR="0037201D">
        <w:trPr>
          <w:trHeight w:val="360"/>
          <w:jc w:val="center"/>
        </w:trPr>
        <w:tc>
          <w:tcPr>
            <w:tcW w:w="5000" w:type="pct"/>
            <w:vAlign w:val="center"/>
          </w:tcPr>
          <w:p w:rsidR="0037201D" w:rsidRDefault="0037201D">
            <w:pPr>
              <w:pStyle w:val="NoSpacing"/>
              <w:jc w:val="center"/>
            </w:pPr>
          </w:p>
        </w:tc>
      </w:tr>
      <w:tr w:rsidR="0037201D">
        <w:trPr>
          <w:trHeight w:val="360"/>
          <w:jc w:val="center"/>
        </w:trPr>
        <w:tc>
          <w:tcPr>
            <w:tcW w:w="5000" w:type="pct"/>
            <w:vAlign w:val="center"/>
          </w:tcPr>
          <w:p w:rsidR="0037201D" w:rsidRDefault="0037201D">
            <w:pPr>
              <w:pStyle w:val="NoSpacing"/>
              <w:jc w:val="center"/>
              <w:rPr>
                <w:b/>
                <w:bCs/>
              </w:rPr>
            </w:pPr>
          </w:p>
        </w:tc>
      </w:tr>
      <w:tr w:rsidR="0037201D">
        <w:trPr>
          <w:trHeight w:val="360"/>
          <w:jc w:val="center"/>
        </w:trPr>
        <w:tc>
          <w:tcPr>
            <w:tcW w:w="5000" w:type="pct"/>
            <w:vAlign w:val="center"/>
          </w:tcPr>
          <w:p w:rsidR="0037201D" w:rsidRDefault="0037201D">
            <w:pPr>
              <w:pStyle w:val="NoSpacing"/>
              <w:jc w:val="center"/>
              <w:rPr>
                <w:b/>
                <w:bCs/>
              </w:rPr>
            </w:pPr>
            <w:r>
              <w:rPr>
                <w:b/>
                <w:bCs/>
              </w:rPr>
              <w:t>Effective Date: 4/19/2010</w:t>
            </w:r>
          </w:p>
        </w:tc>
      </w:tr>
    </w:tbl>
    <w:p w:rsidR="0037201D" w:rsidRDefault="0037201D"/>
    <w:p w:rsidR="0037201D" w:rsidRDefault="0037201D"/>
    <w:tbl>
      <w:tblPr>
        <w:tblpPr w:leftFromText="187" w:rightFromText="187" w:horzAnchor="margin" w:tblpXSpec="center" w:tblpYSpec="bottom"/>
        <w:tblW w:w="5000" w:type="pct"/>
        <w:tblLook w:val="00A0"/>
      </w:tblPr>
      <w:tblGrid>
        <w:gridCol w:w="9576"/>
      </w:tblGrid>
      <w:tr w:rsidR="0037201D">
        <w:tc>
          <w:tcPr>
            <w:tcW w:w="5000" w:type="pct"/>
          </w:tcPr>
          <w:p w:rsidR="0037201D" w:rsidRDefault="0037201D">
            <w:pPr>
              <w:pStyle w:val="NoSpacing"/>
            </w:pPr>
            <w:r>
              <w:t xml:space="preserve">This document Issued by the Ohio Bureau of Criminal Identification &amp; Investigation provides a communication standard for transactions between Livescan devices and the State of </w:t>
            </w:r>
            <w:smartTag w:uri="urn:schemas-microsoft-com:office:smarttags" w:element="State">
              <w:smartTag w:uri="urn:schemas-microsoft-com:office:smarttags" w:element="place">
                <w:r>
                  <w:t>Ohio</w:t>
                </w:r>
              </w:smartTag>
            </w:smartTag>
            <w:r>
              <w:t>’s Automated Fingerprint Identification System (AFIS).</w:t>
            </w:r>
          </w:p>
        </w:tc>
      </w:tr>
    </w:tbl>
    <w:p w:rsidR="0037201D" w:rsidRDefault="0037201D"/>
    <w:p w:rsidR="0037201D" w:rsidRDefault="0037201D">
      <w:pPr>
        <w:rPr>
          <w:rFonts w:ascii="Cambria" w:hAnsi="Cambria"/>
          <w:b/>
          <w:bCs/>
          <w:color w:val="365F91"/>
          <w:sz w:val="28"/>
          <w:szCs w:val="28"/>
        </w:rPr>
      </w:pPr>
      <w:r>
        <w:br w:type="page"/>
      </w:r>
    </w:p>
    <w:p w:rsidR="0037201D" w:rsidRDefault="0037201D">
      <w:pPr>
        <w:pStyle w:val="TOCHeading"/>
        <w:numPr>
          <w:ilvl w:val="0"/>
          <w:numId w:val="0"/>
        </w:numPr>
      </w:pPr>
    </w:p>
    <w:p w:rsidR="0037201D" w:rsidRDefault="0037201D">
      <w:pPr>
        <w:pStyle w:val="TOC1"/>
        <w:tabs>
          <w:tab w:val="left" w:pos="440"/>
          <w:tab w:val="right" w:leader="dot" w:pos="9350"/>
        </w:tabs>
        <w:rPr>
          <w:noProof/>
        </w:rPr>
      </w:pPr>
      <w:r>
        <w:fldChar w:fldCharType="begin"/>
      </w:r>
      <w:r>
        <w:instrText xml:space="preserve"> TOC \o "1-3" \h \z \u </w:instrText>
      </w:r>
      <w:r>
        <w:fldChar w:fldCharType="separate"/>
      </w:r>
      <w:hyperlink w:anchor="_Toc254877542" w:history="1">
        <w:r>
          <w:rPr>
            <w:rStyle w:val="Hyperlink"/>
            <w:noProof/>
          </w:rPr>
          <w:t>1</w:t>
        </w:r>
        <w:r>
          <w:rPr>
            <w:noProof/>
          </w:rPr>
          <w:tab/>
        </w:r>
        <w:r>
          <w:rPr>
            <w:rStyle w:val="Hyperlink"/>
            <w:noProof/>
          </w:rPr>
          <w:t>Introduction</w:t>
        </w:r>
        <w:r>
          <w:rPr>
            <w:noProof/>
            <w:webHidden/>
          </w:rPr>
          <w:tab/>
        </w:r>
        <w:r>
          <w:rPr>
            <w:noProof/>
            <w:webHidden/>
          </w:rPr>
          <w:fldChar w:fldCharType="begin"/>
        </w:r>
        <w:r>
          <w:rPr>
            <w:noProof/>
            <w:webHidden/>
          </w:rPr>
          <w:instrText xml:space="preserve"> PAGEREF _Toc254877542 \h </w:instrText>
        </w:r>
        <w:r>
          <w:rPr>
            <w:noProof/>
            <w:webHidden/>
          </w:rPr>
        </w:r>
        <w:r>
          <w:rPr>
            <w:noProof/>
            <w:webHidden/>
          </w:rPr>
          <w:fldChar w:fldCharType="separate"/>
        </w:r>
        <w:r>
          <w:rPr>
            <w:noProof/>
            <w:webHidden/>
          </w:rPr>
          <w:t>3</w:t>
        </w:r>
        <w:r>
          <w:rPr>
            <w:noProof/>
            <w:webHidden/>
          </w:rPr>
          <w:fldChar w:fldCharType="end"/>
        </w:r>
      </w:hyperlink>
    </w:p>
    <w:p w:rsidR="0037201D" w:rsidRDefault="0037201D">
      <w:pPr>
        <w:pStyle w:val="TOC2"/>
        <w:tabs>
          <w:tab w:val="left" w:pos="880"/>
          <w:tab w:val="right" w:leader="dot" w:pos="9350"/>
        </w:tabs>
        <w:rPr>
          <w:noProof/>
        </w:rPr>
      </w:pPr>
      <w:hyperlink w:anchor="_Toc254877543" w:history="1">
        <w:r>
          <w:rPr>
            <w:rStyle w:val="Hyperlink"/>
            <w:noProof/>
          </w:rPr>
          <w:t>1.1</w:t>
        </w:r>
        <w:r>
          <w:rPr>
            <w:noProof/>
          </w:rPr>
          <w:tab/>
        </w:r>
        <w:r>
          <w:rPr>
            <w:rStyle w:val="Hyperlink"/>
            <w:noProof/>
          </w:rPr>
          <w:t>System Description</w:t>
        </w:r>
        <w:r>
          <w:rPr>
            <w:noProof/>
            <w:webHidden/>
          </w:rPr>
          <w:tab/>
        </w:r>
        <w:r>
          <w:rPr>
            <w:noProof/>
            <w:webHidden/>
          </w:rPr>
          <w:fldChar w:fldCharType="begin"/>
        </w:r>
        <w:r>
          <w:rPr>
            <w:noProof/>
            <w:webHidden/>
          </w:rPr>
          <w:instrText xml:space="preserve"> PAGEREF _Toc254877543 \h </w:instrText>
        </w:r>
        <w:r>
          <w:rPr>
            <w:noProof/>
            <w:webHidden/>
          </w:rPr>
        </w:r>
        <w:r>
          <w:rPr>
            <w:noProof/>
            <w:webHidden/>
          </w:rPr>
          <w:fldChar w:fldCharType="separate"/>
        </w:r>
        <w:r>
          <w:rPr>
            <w:noProof/>
            <w:webHidden/>
          </w:rPr>
          <w:t>3</w:t>
        </w:r>
        <w:r>
          <w:rPr>
            <w:noProof/>
            <w:webHidden/>
          </w:rPr>
          <w:fldChar w:fldCharType="end"/>
        </w:r>
      </w:hyperlink>
    </w:p>
    <w:p w:rsidR="0037201D" w:rsidRDefault="0037201D">
      <w:pPr>
        <w:pStyle w:val="TOC2"/>
        <w:tabs>
          <w:tab w:val="left" w:pos="880"/>
          <w:tab w:val="right" w:leader="dot" w:pos="9350"/>
        </w:tabs>
        <w:rPr>
          <w:noProof/>
        </w:rPr>
      </w:pPr>
      <w:hyperlink w:anchor="_Toc254877544" w:history="1">
        <w:r>
          <w:rPr>
            <w:rStyle w:val="Hyperlink"/>
            <w:noProof/>
          </w:rPr>
          <w:t>1.2</w:t>
        </w:r>
        <w:r>
          <w:rPr>
            <w:noProof/>
          </w:rPr>
          <w:tab/>
        </w:r>
        <w:r>
          <w:rPr>
            <w:rStyle w:val="Hyperlink"/>
            <w:noProof/>
          </w:rPr>
          <w:t>Interface Description</w:t>
        </w:r>
        <w:r>
          <w:rPr>
            <w:noProof/>
            <w:webHidden/>
          </w:rPr>
          <w:tab/>
        </w:r>
        <w:r>
          <w:rPr>
            <w:noProof/>
            <w:webHidden/>
          </w:rPr>
          <w:fldChar w:fldCharType="begin"/>
        </w:r>
        <w:r>
          <w:rPr>
            <w:noProof/>
            <w:webHidden/>
          </w:rPr>
          <w:instrText xml:space="preserve"> PAGEREF _Toc254877544 \h </w:instrText>
        </w:r>
        <w:r>
          <w:rPr>
            <w:noProof/>
            <w:webHidden/>
          </w:rPr>
        </w:r>
        <w:r>
          <w:rPr>
            <w:noProof/>
            <w:webHidden/>
          </w:rPr>
          <w:fldChar w:fldCharType="separate"/>
        </w:r>
        <w:r>
          <w:rPr>
            <w:noProof/>
            <w:webHidden/>
          </w:rPr>
          <w:t>3</w:t>
        </w:r>
        <w:r>
          <w:rPr>
            <w:noProof/>
            <w:webHidden/>
          </w:rPr>
          <w:fldChar w:fldCharType="end"/>
        </w:r>
      </w:hyperlink>
    </w:p>
    <w:p w:rsidR="0037201D" w:rsidRDefault="0037201D">
      <w:pPr>
        <w:pStyle w:val="TOC2"/>
        <w:tabs>
          <w:tab w:val="left" w:pos="880"/>
          <w:tab w:val="right" w:leader="dot" w:pos="9350"/>
        </w:tabs>
        <w:rPr>
          <w:noProof/>
        </w:rPr>
      </w:pPr>
      <w:hyperlink w:anchor="_Toc254877545" w:history="1">
        <w:r>
          <w:rPr>
            <w:rStyle w:val="Hyperlink"/>
            <w:noProof/>
          </w:rPr>
          <w:t>1.3</w:t>
        </w:r>
        <w:r>
          <w:rPr>
            <w:noProof/>
          </w:rPr>
          <w:tab/>
        </w:r>
        <w:r>
          <w:rPr>
            <w:rStyle w:val="Hyperlink"/>
            <w:noProof/>
          </w:rPr>
          <w:t>Specification Scope</w:t>
        </w:r>
        <w:r>
          <w:rPr>
            <w:noProof/>
            <w:webHidden/>
          </w:rPr>
          <w:tab/>
        </w:r>
        <w:r>
          <w:rPr>
            <w:noProof/>
            <w:webHidden/>
          </w:rPr>
          <w:fldChar w:fldCharType="begin"/>
        </w:r>
        <w:r>
          <w:rPr>
            <w:noProof/>
            <w:webHidden/>
          </w:rPr>
          <w:instrText xml:space="preserve"> PAGEREF _Toc254877545 \h </w:instrText>
        </w:r>
        <w:r>
          <w:rPr>
            <w:noProof/>
            <w:webHidden/>
          </w:rPr>
        </w:r>
        <w:r>
          <w:rPr>
            <w:noProof/>
            <w:webHidden/>
          </w:rPr>
          <w:fldChar w:fldCharType="separate"/>
        </w:r>
        <w:r>
          <w:rPr>
            <w:noProof/>
            <w:webHidden/>
          </w:rPr>
          <w:t>3</w:t>
        </w:r>
        <w:r>
          <w:rPr>
            <w:noProof/>
            <w:webHidden/>
          </w:rPr>
          <w:fldChar w:fldCharType="end"/>
        </w:r>
      </w:hyperlink>
    </w:p>
    <w:p w:rsidR="0037201D" w:rsidRDefault="0037201D">
      <w:pPr>
        <w:pStyle w:val="TOC1"/>
        <w:tabs>
          <w:tab w:val="left" w:pos="440"/>
          <w:tab w:val="right" w:leader="dot" w:pos="9350"/>
        </w:tabs>
        <w:rPr>
          <w:noProof/>
        </w:rPr>
      </w:pPr>
      <w:hyperlink w:anchor="_Toc254877546" w:history="1">
        <w:r>
          <w:rPr>
            <w:rStyle w:val="Hyperlink"/>
            <w:noProof/>
          </w:rPr>
          <w:t>2</w:t>
        </w:r>
        <w:r>
          <w:rPr>
            <w:noProof/>
          </w:rPr>
          <w:tab/>
        </w:r>
        <w:r>
          <w:rPr>
            <w:rStyle w:val="Hyperlink"/>
            <w:noProof/>
          </w:rPr>
          <w:t>Description of Transactions</w:t>
        </w:r>
        <w:r>
          <w:rPr>
            <w:noProof/>
            <w:webHidden/>
          </w:rPr>
          <w:tab/>
        </w:r>
        <w:r>
          <w:rPr>
            <w:noProof/>
            <w:webHidden/>
          </w:rPr>
          <w:fldChar w:fldCharType="begin"/>
        </w:r>
        <w:r>
          <w:rPr>
            <w:noProof/>
            <w:webHidden/>
          </w:rPr>
          <w:instrText xml:space="preserve"> PAGEREF _Toc254877546 \h </w:instrText>
        </w:r>
        <w:r>
          <w:rPr>
            <w:noProof/>
            <w:webHidden/>
          </w:rPr>
        </w:r>
        <w:r>
          <w:rPr>
            <w:noProof/>
            <w:webHidden/>
          </w:rPr>
          <w:fldChar w:fldCharType="separate"/>
        </w:r>
        <w:r>
          <w:rPr>
            <w:noProof/>
            <w:webHidden/>
          </w:rPr>
          <w:t>5</w:t>
        </w:r>
        <w:r>
          <w:rPr>
            <w:noProof/>
            <w:webHidden/>
          </w:rPr>
          <w:fldChar w:fldCharType="end"/>
        </w:r>
      </w:hyperlink>
    </w:p>
    <w:p w:rsidR="0037201D" w:rsidRDefault="0037201D">
      <w:pPr>
        <w:pStyle w:val="TOC2"/>
        <w:tabs>
          <w:tab w:val="left" w:pos="880"/>
          <w:tab w:val="right" w:leader="dot" w:pos="9350"/>
        </w:tabs>
        <w:rPr>
          <w:noProof/>
        </w:rPr>
      </w:pPr>
      <w:hyperlink w:anchor="_Toc254877547" w:history="1">
        <w:r>
          <w:rPr>
            <w:rStyle w:val="Hyperlink"/>
            <w:noProof/>
          </w:rPr>
          <w:t>2.1</w:t>
        </w:r>
        <w:r>
          <w:rPr>
            <w:noProof/>
          </w:rPr>
          <w:tab/>
        </w:r>
        <w:r>
          <w:rPr>
            <w:rStyle w:val="Hyperlink"/>
            <w:noProof/>
          </w:rPr>
          <w:t>Ten-Print Submissions</w:t>
        </w:r>
        <w:r>
          <w:rPr>
            <w:noProof/>
            <w:webHidden/>
          </w:rPr>
          <w:tab/>
        </w:r>
        <w:r>
          <w:rPr>
            <w:noProof/>
            <w:webHidden/>
          </w:rPr>
          <w:fldChar w:fldCharType="begin"/>
        </w:r>
        <w:r>
          <w:rPr>
            <w:noProof/>
            <w:webHidden/>
          </w:rPr>
          <w:instrText xml:space="preserve"> PAGEREF _Toc254877547 \h </w:instrText>
        </w:r>
        <w:r>
          <w:rPr>
            <w:noProof/>
            <w:webHidden/>
          </w:rPr>
        </w:r>
        <w:r>
          <w:rPr>
            <w:noProof/>
            <w:webHidden/>
          </w:rPr>
          <w:fldChar w:fldCharType="separate"/>
        </w:r>
        <w:r>
          <w:rPr>
            <w:noProof/>
            <w:webHidden/>
          </w:rPr>
          <w:t>5</w:t>
        </w:r>
        <w:r>
          <w:rPr>
            <w:noProof/>
            <w:webHidden/>
          </w:rPr>
          <w:fldChar w:fldCharType="end"/>
        </w:r>
      </w:hyperlink>
    </w:p>
    <w:p w:rsidR="0037201D" w:rsidRDefault="0037201D">
      <w:pPr>
        <w:pStyle w:val="TOC3"/>
        <w:tabs>
          <w:tab w:val="left" w:pos="1320"/>
          <w:tab w:val="right" w:leader="dot" w:pos="9350"/>
        </w:tabs>
        <w:rPr>
          <w:noProof/>
        </w:rPr>
      </w:pPr>
      <w:hyperlink w:anchor="_Toc254877548" w:history="1">
        <w:r>
          <w:rPr>
            <w:rStyle w:val="Hyperlink"/>
            <w:noProof/>
          </w:rPr>
          <w:t>2.1.1</w:t>
        </w:r>
        <w:r>
          <w:rPr>
            <w:noProof/>
          </w:rPr>
          <w:tab/>
        </w:r>
        <w:r>
          <w:rPr>
            <w:rStyle w:val="Hyperlink"/>
            <w:noProof/>
          </w:rPr>
          <w:t>Arrest Ten-Print Submission (CAR)</w:t>
        </w:r>
        <w:r>
          <w:rPr>
            <w:noProof/>
            <w:webHidden/>
          </w:rPr>
          <w:tab/>
        </w:r>
        <w:r>
          <w:rPr>
            <w:noProof/>
            <w:webHidden/>
          </w:rPr>
          <w:fldChar w:fldCharType="begin"/>
        </w:r>
        <w:r>
          <w:rPr>
            <w:noProof/>
            <w:webHidden/>
          </w:rPr>
          <w:instrText xml:space="preserve"> PAGEREF _Toc254877548 \h </w:instrText>
        </w:r>
        <w:r>
          <w:rPr>
            <w:noProof/>
            <w:webHidden/>
          </w:rPr>
        </w:r>
        <w:r>
          <w:rPr>
            <w:noProof/>
            <w:webHidden/>
          </w:rPr>
          <w:fldChar w:fldCharType="separate"/>
        </w:r>
        <w:r>
          <w:rPr>
            <w:noProof/>
            <w:webHidden/>
          </w:rPr>
          <w:t>5</w:t>
        </w:r>
        <w:r>
          <w:rPr>
            <w:noProof/>
            <w:webHidden/>
          </w:rPr>
          <w:fldChar w:fldCharType="end"/>
        </w:r>
      </w:hyperlink>
    </w:p>
    <w:p w:rsidR="0037201D" w:rsidRDefault="0037201D">
      <w:pPr>
        <w:pStyle w:val="TOC3"/>
        <w:tabs>
          <w:tab w:val="left" w:pos="1320"/>
          <w:tab w:val="right" w:leader="dot" w:pos="9350"/>
        </w:tabs>
        <w:rPr>
          <w:noProof/>
        </w:rPr>
      </w:pPr>
      <w:hyperlink w:anchor="_Toc254877549" w:history="1">
        <w:r>
          <w:rPr>
            <w:rStyle w:val="Hyperlink"/>
            <w:noProof/>
          </w:rPr>
          <w:t>2.1.2</w:t>
        </w:r>
        <w:r>
          <w:rPr>
            <w:noProof/>
          </w:rPr>
          <w:tab/>
        </w:r>
        <w:r>
          <w:rPr>
            <w:rStyle w:val="Hyperlink"/>
            <w:noProof/>
          </w:rPr>
          <w:t>Judicial Ten-Print Submission (JLR)</w:t>
        </w:r>
        <w:r>
          <w:rPr>
            <w:noProof/>
            <w:webHidden/>
          </w:rPr>
          <w:tab/>
        </w:r>
        <w:r>
          <w:rPr>
            <w:noProof/>
            <w:webHidden/>
          </w:rPr>
          <w:fldChar w:fldCharType="begin"/>
        </w:r>
        <w:r>
          <w:rPr>
            <w:noProof/>
            <w:webHidden/>
          </w:rPr>
          <w:instrText xml:space="preserve"> PAGEREF _Toc254877549 \h </w:instrText>
        </w:r>
        <w:r>
          <w:rPr>
            <w:noProof/>
            <w:webHidden/>
          </w:rPr>
        </w:r>
        <w:r>
          <w:rPr>
            <w:noProof/>
            <w:webHidden/>
          </w:rPr>
          <w:fldChar w:fldCharType="separate"/>
        </w:r>
        <w:r>
          <w:rPr>
            <w:noProof/>
            <w:webHidden/>
          </w:rPr>
          <w:t>6</w:t>
        </w:r>
        <w:r>
          <w:rPr>
            <w:noProof/>
            <w:webHidden/>
          </w:rPr>
          <w:fldChar w:fldCharType="end"/>
        </w:r>
      </w:hyperlink>
    </w:p>
    <w:p w:rsidR="0037201D" w:rsidRDefault="0037201D">
      <w:pPr>
        <w:pStyle w:val="TOC3"/>
        <w:tabs>
          <w:tab w:val="left" w:pos="1320"/>
          <w:tab w:val="right" w:leader="dot" w:pos="9350"/>
        </w:tabs>
        <w:rPr>
          <w:noProof/>
        </w:rPr>
      </w:pPr>
      <w:hyperlink w:anchor="_Toc254877550" w:history="1">
        <w:r>
          <w:rPr>
            <w:rStyle w:val="Hyperlink"/>
            <w:noProof/>
          </w:rPr>
          <w:t>2.1.3</w:t>
        </w:r>
        <w:r>
          <w:rPr>
            <w:noProof/>
          </w:rPr>
          <w:tab/>
        </w:r>
        <w:r>
          <w:rPr>
            <w:rStyle w:val="Hyperlink"/>
            <w:noProof/>
          </w:rPr>
          <w:t>Correctional Facility Ten-Print Submission (CFR)</w:t>
        </w:r>
        <w:r>
          <w:rPr>
            <w:noProof/>
            <w:webHidden/>
          </w:rPr>
          <w:tab/>
        </w:r>
        <w:r>
          <w:rPr>
            <w:noProof/>
            <w:webHidden/>
          </w:rPr>
          <w:fldChar w:fldCharType="begin"/>
        </w:r>
        <w:r>
          <w:rPr>
            <w:noProof/>
            <w:webHidden/>
          </w:rPr>
          <w:instrText xml:space="preserve"> PAGEREF _Toc254877550 \h </w:instrText>
        </w:r>
        <w:r>
          <w:rPr>
            <w:noProof/>
            <w:webHidden/>
          </w:rPr>
        </w:r>
        <w:r>
          <w:rPr>
            <w:noProof/>
            <w:webHidden/>
          </w:rPr>
          <w:fldChar w:fldCharType="separate"/>
        </w:r>
        <w:r>
          <w:rPr>
            <w:noProof/>
            <w:webHidden/>
          </w:rPr>
          <w:t>6</w:t>
        </w:r>
        <w:r>
          <w:rPr>
            <w:noProof/>
            <w:webHidden/>
          </w:rPr>
          <w:fldChar w:fldCharType="end"/>
        </w:r>
      </w:hyperlink>
    </w:p>
    <w:p w:rsidR="0037201D" w:rsidRDefault="0037201D">
      <w:pPr>
        <w:pStyle w:val="TOC2"/>
        <w:tabs>
          <w:tab w:val="left" w:pos="880"/>
          <w:tab w:val="right" w:leader="dot" w:pos="9350"/>
        </w:tabs>
        <w:rPr>
          <w:noProof/>
        </w:rPr>
      </w:pPr>
      <w:hyperlink w:anchor="_Toc254877551" w:history="1">
        <w:r>
          <w:rPr>
            <w:rStyle w:val="Hyperlink"/>
            <w:noProof/>
          </w:rPr>
          <w:t>2.2</w:t>
        </w:r>
        <w:r>
          <w:rPr>
            <w:noProof/>
          </w:rPr>
          <w:tab/>
        </w:r>
        <w:r>
          <w:rPr>
            <w:rStyle w:val="Hyperlink"/>
            <w:noProof/>
          </w:rPr>
          <w:t>Responses to Ten-Print Submissions</w:t>
        </w:r>
        <w:r>
          <w:rPr>
            <w:noProof/>
            <w:webHidden/>
          </w:rPr>
          <w:tab/>
        </w:r>
        <w:r>
          <w:rPr>
            <w:noProof/>
            <w:webHidden/>
          </w:rPr>
          <w:fldChar w:fldCharType="begin"/>
        </w:r>
        <w:r>
          <w:rPr>
            <w:noProof/>
            <w:webHidden/>
          </w:rPr>
          <w:instrText xml:space="preserve"> PAGEREF _Toc254877551 \h </w:instrText>
        </w:r>
        <w:r>
          <w:rPr>
            <w:noProof/>
            <w:webHidden/>
          </w:rPr>
        </w:r>
        <w:r>
          <w:rPr>
            <w:noProof/>
            <w:webHidden/>
          </w:rPr>
          <w:fldChar w:fldCharType="separate"/>
        </w:r>
        <w:r>
          <w:rPr>
            <w:noProof/>
            <w:webHidden/>
          </w:rPr>
          <w:t>7</w:t>
        </w:r>
        <w:r>
          <w:rPr>
            <w:noProof/>
            <w:webHidden/>
          </w:rPr>
          <w:fldChar w:fldCharType="end"/>
        </w:r>
      </w:hyperlink>
    </w:p>
    <w:p w:rsidR="0037201D" w:rsidRDefault="0037201D">
      <w:pPr>
        <w:pStyle w:val="TOC3"/>
        <w:tabs>
          <w:tab w:val="left" w:pos="1320"/>
          <w:tab w:val="right" w:leader="dot" w:pos="9350"/>
        </w:tabs>
        <w:rPr>
          <w:noProof/>
        </w:rPr>
      </w:pPr>
      <w:hyperlink w:anchor="_Toc254877552" w:history="1">
        <w:r>
          <w:rPr>
            <w:rStyle w:val="Hyperlink"/>
            <w:noProof/>
          </w:rPr>
          <w:t>2.2.1</w:t>
        </w:r>
        <w:r>
          <w:rPr>
            <w:noProof/>
          </w:rPr>
          <w:tab/>
        </w:r>
        <w:r>
          <w:rPr>
            <w:rStyle w:val="Hyperlink"/>
            <w:noProof/>
          </w:rPr>
          <w:t>Submission Results - Electronic (SRE)</w:t>
        </w:r>
        <w:r>
          <w:rPr>
            <w:noProof/>
            <w:webHidden/>
          </w:rPr>
          <w:tab/>
        </w:r>
        <w:r>
          <w:rPr>
            <w:noProof/>
            <w:webHidden/>
          </w:rPr>
          <w:fldChar w:fldCharType="begin"/>
        </w:r>
        <w:r>
          <w:rPr>
            <w:noProof/>
            <w:webHidden/>
          </w:rPr>
          <w:instrText xml:space="preserve"> PAGEREF _Toc254877552 \h </w:instrText>
        </w:r>
        <w:r>
          <w:rPr>
            <w:noProof/>
            <w:webHidden/>
          </w:rPr>
        </w:r>
        <w:r>
          <w:rPr>
            <w:noProof/>
            <w:webHidden/>
          </w:rPr>
          <w:fldChar w:fldCharType="separate"/>
        </w:r>
        <w:r>
          <w:rPr>
            <w:noProof/>
            <w:webHidden/>
          </w:rPr>
          <w:t>7</w:t>
        </w:r>
        <w:r>
          <w:rPr>
            <w:noProof/>
            <w:webHidden/>
          </w:rPr>
          <w:fldChar w:fldCharType="end"/>
        </w:r>
      </w:hyperlink>
    </w:p>
    <w:p w:rsidR="0037201D" w:rsidRDefault="0037201D">
      <w:pPr>
        <w:pStyle w:val="TOC3"/>
        <w:tabs>
          <w:tab w:val="left" w:pos="1320"/>
          <w:tab w:val="right" w:leader="dot" w:pos="9350"/>
        </w:tabs>
        <w:rPr>
          <w:noProof/>
        </w:rPr>
      </w:pPr>
      <w:hyperlink w:anchor="_Toc254877553" w:history="1">
        <w:r>
          <w:rPr>
            <w:rStyle w:val="Hyperlink"/>
            <w:noProof/>
          </w:rPr>
          <w:t>2.2.2</w:t>
        </w:r>
        <w:r>
          <w:rPr>
            <w:noProof/>
          </w:rPr>
          <w:tab/>
        </w:r>
        <w:r>
          <w:rPr>
            <w:rStyle w:val="Hyperlink"/>
            <w:noProof/>
          </w:rPr>
          <w:t>Transaction Error (ERR)</w:t>
        </w:r>
        <w:r>
          <w:rPr>
            <w:noProof/>
            <w:webHidden/>
          </w:rPr>
          <w:tab/>
        </w:r>
        <w:r>
          <w:rPr>
            <w:noProof/>
            <w:webHidden/>
          </w:rPr>
          <w:fldChar w:fldCharType="begin"/>
        </w:r>
        <w:r>
          <w:rPr>
            <w:noProof/>
            <w:webHidden/>
          </w:rPr>
          <w:instrText xml:space="preserve"> PAGEREF _Toc254877553 \h </w:instrText>
        </w:r>
        <w:r>
          <w:rPr>
            <w:noProof/>
            <w:webHidden/>
          </w:rPr>
        </w:r>
        <w:r>
          <w:rPr>
            <w:noProof/>
            <w:webHidden/>
          </w:rPr>
          <w:fldChar w:fldCharType="separate"/>
        </w:r>
        <w:r>
          <w:rPr>
            <w:noProof/>
            <w:webHidden/>
          </w:rPr>
          <w:t>7</w:t>
        </w:r>
        <w:r>
          <w:rPr>
            <w:noProof/>
            <w:webHidden/>
          </w:rPr>
          <w:fldChar w:fldCharType="end"/>
        </w:r>
      </w:hyperlink>
    </w:p>
    <w:p w:rsidR="0037201D" w:rsidRDefault="0037201D">
      <w:pPr>
        <w:pStyle w:val="TOC1"/>
        <w:tabs>
          <w:tab w:val="left" w:pos="440"/>
          <w:tab w:val="right" w:leader="dot" w:pos="9350"/>
        </w:tabs>
        <w:rPr>
          <w:noProof/>
        </w:rPr>
      </w:pPr>
      <w:hyperlink w:anchor="_Toc254877554" w:history="1">
        <w:r>
          <w:rPr>
            <w:rStyle w:val="Hyperlink"/>
            <w:noProof/>
          </w:rPr>
          <w:t>3</w:t>
        </w:r>
        <w:r>
          <w:rPr>
            <w:noProof/>
          </w:rPr>
          <w:tab/>
        </w:r>
        <w:r>
          <w:rPr>
            <w:rStyle w:val="Hyperlink"/>
            <w:noProof/>
          </w:rPr>
          <w:t>Certification, Setup and Testing</w:t>
        </w:r>
        <w:r>
          <w:rPr>
            <w:noProof/>
            <w:webHidden/>
          </w:rPr>
          <w:tab/>
        </w:r>
        <w:r>
          <w:rPr>
            <w:noProof/>
            <w:webHidden/>
          </w:rPr>
          <w:fldChar w:fldCharType="begin"/>
        </w:r>
        <w:r>
          <w:rPr>
            <w:noProof/>
            <w:webHidden/>
          </w:rPr>
          <w:instrText xml:space="preserve"> PAGEREF _Toc254877554 \h </w:instrText>
        </w:r>
        <w:r>
          <w:rPr>
            <w:noProof/>
            <w:webHidden/>
          </w:rPr>
        </w:r>
        <w:r>
          <w:rPr>
            <w:noProof/>
            <w:webHidden/>
          </w:rPr>
          <w:fldChar w:fldCharType="separate"/>
        </w:r>
        <w:r>
          <w:rPr>
            <w:noProof/>
            <w:webHidden/>
          </w:rPr>
          <w:t>7</w:t>
        </w:r>
        <w:r>
          <w:rPr>
            <w:noProof/>
            <w:webHidden/>
          </w:rPr>
          <w:fldChar w:fldCharType="end"/>
        </w:r>
      </w:hyperlink>
    </w:p>
    <w:p w:rsidR="0037201D" w:rsidRDefault="0037201D">
      <w:pPr>
        <w:pStyle w:val="TOC2"/>
        <w:tabs>
          <w:tab w:val="left" w:pos="880"/>
          <w:tab w:val="right" w:leader="dot" w:pos="9350"/>
        </w:tabs>
        <w:rPr>
          <w:noProof/>
        </w:rPr>
      </w:pPr>
      <w:hyperlink w:anchor="_Toc254877555" w:history="1">
        <w:r>
          <w:rPr>
            <w:rStyle w:val="Hyperlink"/>
            <w:noProof/>
          </w:rPr>
          <w:t>3.1</w:t>
        </w:r>
        <w:r>
          <w:rPr>
            <w:noProof/>
          </w:rPr>
          <w:tab/>
        </w:r>
        <w:r>
          <w:rPr>
            <w:rStyle w:val="Hyperlink"/>
            <w:noProof/>
          </w:rPr>
          <w:t>Vendor Certification</w:t>
        </w:r>
        <w:r>
          <w:rPr>
            <w:noProof/>
            <w:webHidden/>
          </w:rPr>
          <w:tab/>
        </w:r>
        <w:r>
          <w:rPr>
            <w:noProof/>
            <w:webHidden/>
          </w:rPr>
          <w:fldChar w:fldCharType="begin"/>
        </w:r>
        <w:r>
          <w:rPr>
            <w:noProof/>
            <w:webHidden/>
          </w:rPr>
          <w:instrText xml:space="preserve"> PAGEREF _Toc254877555 \h </w:instrText>
        </w:r>
        <w:r>
          <w:rPr>
            <w:noProof/>
            <w:webHidden/>
          </w:rPr>
        </w:r>
        <w:r>
          <w:rPr>
            <w:noProof/>
            <w:webHidden/>
          </w:rPr>
          <w:fldChar w:fldCharType="separate"/>
        </w:r>
        <w:r>
          <w:rPr>
            <w:noProof/>
            <w:webHidden/>
          </w:rPr>
          <w:t>7</w:t>
        </w:r>
        <w:r>
          <w:rPr>
            <w:noProof/>
            <w:webHidden/>
          </w:rPr>
          <w:fldChar w:fldCharType="end"/>
        </w:r>
      </w:hyperlink>
    </w:p>
    <w:p w:rsidR="0037201D" w:rsidRDefault="0037201D">
      <w:pPr>
        <w:pStyle w:val="TOC2"/>
        <w:tabs>
          <w:tab w:val="left" w:pos="880"/>
          <w:tab w:val="right" w:leader="dot" w:pos="9350"/>
        </w:tabs>
        <w:rPr>
          <w:noProof/>
        </w:rPr>
      </w:pPr>
      <w:hyperlink w:anchor="_Toc254877556" w:history="1">
        <w:r>
          <w:rPr>
            <w:rStyle w:val="Hyperlink"/>
            <w:noProof/>
          </w:rPr>
          <w:t>3.2</w:t>
        </w:r>
        <w:r>
          <w:rPr>
            <w:noProof/>
          </w:rPr>
          <w:tab/>
        </w:r>
        <w:r>
          <w:rPr>
            <w:rStyle w:val="Hyperlink"/>
            <w:noProof/>
          </w:rPr>
          <w:t>Setting Up a New Livescan Site</w:t>
        </w:r>
        <w:r>
          <w:rPr>
            <w:noProof/>
            <w:webHidden/>
          </w:rPr>
          <w:tab/>
        </w:r>
        <w:r>
          <w:rPr>
            <w:noProof/>
            <w:webHidden/>
          </w:rPr>
          <w:fldChar w:fldCharType="begin"/>
        </w:r>
        <w:r>
          <w:rPr>
            <w:noProof/>
            <w:webHidden/>
          </w:rPr>
          <w:instrText xml:space="preserve"> PAGEREF _Toc254877556 \h </w:instrText>
        </w:r>
        <w:r>
          <w:rPr>
            <w:noProof/>
            <w:webHidden/>
          </w:rPr>
        </w:r>
        <w:r>
          <w:rPr>
            <w:noProof/>
            <w:webHidden/>
          </w:rPr>
          <w:fldChar w:fldCharType="separate"/>
        </w:r>
        <w:r>
          <w:rPr>
            <w:noProof/>
            <w:webHidden/>
          </w:rPr>
          <w:t>8</w:t>
        </w:r>
        <w:r>
          <w:rPr>
            <w:noProof/>
            <w:webHidden/>
          </w:rPr>
          <w:fldChar w:fldCharType="end"/>
        </w:r>
      </w:hyperlink>
    </w:p>
    <w:p w:rsidR="0037201D" w:rsidRDefault="0037201D">
      <w:pPr>
        <w:pStyle w:val="TOC2"/>
        <w:tabs>
          <w:tab w:val="left" w:pos="880"/>
          <w:tab w:val="right" w:leader="dot" w:pos="9350"/>
        </w:tabs>
        <w:rPr>
          <w:noProof/>
        </w:rPr>
      </w:pPr>
      <w:hyperlink w:anchor="_Toc254877557" w:history="1">
        <w:r>
          <w:rPr>
            <w:rStyle w:val="Hyperlink"/>
            <w:noProof/>
          </w:rPr>
          <w:t>3.3</w:t>
        </w:r>
        <w:r>
          <w:rPr>
            <w:noProof/>
          </w:rPr>
          <w:tab/>
        </w:r>
        <w:r>
          <w:rPr>
            <w:rStyle w:val="Hyperlink"/>
            <w:noProof/>
          </w:rPr>
          <w:t>Test Procedure required for each new installation</w:t>
        </w:r>
        <w:r>
          <w:rPr>
            <w:noProof/>
            <w:webHidden/>
          </w:rPr>
          <w:tab/>
        </w:r>
        <w:r>
          <w:rPr>
            <w:noProof/>
            <w:webHidden/>
          </w:rPr>
          <w:fldChar w:fldCharType="begin"/>
        </w:r>
        <w:r>
          <w:rPr>
            <w:noProof/>
            <w:webHidden/>
          </w:rPr>
          <w:instrText xml:space="preserve"> PAGEREF _Toc254877557 \h </w:instrText>
        </w:r>
        <w:r>
          <w:rPr>
            <w:noProof/>
            <w:webHidden/>
          </w:rPr>
        </w:r>
        <w:r>
          <w:rPr>
            <w:noProof/>
            <w:webHidden/>
          </w:rPr>
          <w:fldChar w:fldCharType="separate"/>
        </w:r>
        <w:r>
          <w:rPr>
            <w:noProof/>
            <w:webHidden/>
          </w:rPr>
          <w:t>8</w:t>
        </w:r>
        <w:r>
          <w:rPr>
            <w:noProof/>
            <w:webHidden/>
          </w:rPr>
          <w:fldChar w:fldCharType="end"/>
        </w:r>
      </w:hyperlink>
    </w:p>
    <w:p w:rsidR="0037201D" w:rsidRDefault="0037201D">
      <w:pPr>
        <w:pStyle w:val="TOC1"/>
        <w:tabs>
          <w:tab w:val="left" w:pos="440"/>
          <w:tab w:val="right" w:leader="dot" w:pos="9350"/>
        </w:tabs>
        <w:rPr>
          <w:noProof/>
        </w:rPr>
      </w:pPr>
      <w:hyperlink w:anchor="_Toc254877558" w:history="1">
        <w:r>
          <w:rPr>
            <w:rStyle w:val="Hyperlink"/>
            <w:noProof/>
          </w:rPr>
          <w:t>4</w:t>
        </w:r>
        <w:r>
          <w:rPr>
            <w:noProof/>
          </w:rPr>
          <w:tab/>
        </w:r>
        <w:r>
          <w:rPr>
            <w:rStyle w:val="Hyperlink"/>
            <w:noProof/>
          </w:rPr>
          <w:t>Additional Requirements</w:t>
        </w:r>
        <w:r>
          <w:rPr>
            <w:noProof/>
            <w:webHidden/>
          </w:rPr>
          <w:tab/>
        </w:r>
        <w:r>
          <w:rPr>
            <w:noProof/>
            <w:webHidden/>
          </w:rPr>
          <w:fldChar w:fldCharType="begin"/>
        </w:r>
        <w:r>
          <w:rPr>
            <w:noProof/>
            <w:webHidden/>
          </w:rPr>
          <w:instrText xml:space="preserve"> PAGEREF _Toc254877558 \h </w:instrText>
        </w:r>
        <w:r>
          <w:rPr>
            <w:noProof/>
            <w:webHidden/>
          </w:rPr>
        </w:r>
        <w:r>
          <w:rPr>
            <w:noProof/>
            <w:webHidden/>
          </w:rPr>
          <w:fldChar w:fldCharType="separate"/>
        </w:r>
        <w:r>
          <w:rPr>
            <w:noProof/>
            <w:webHidden/>
          </w:rPr>
          <w:t>8</w:t>
        </w:r>
        <w:r>
          <w:rPr>
            <w:noProof/>
            <w:webHidden/>
          </w:rPr>
          <w:fldChar w:fldCharType="end"/>
        </w:r>
      </w:hyperlink>
    </w:p>
    <w:p w:rsidR="0037201D" w:rsidRDefault="0037201D">
      <w:pPr>
        <w:pStyle w:val="TOC2"/>
        <w:tabs>
          <w:tab w:val="left" w:pos="880"/>
          <w:tab w:val="right" w:leader="dot" w:pos="9350"/>
        </w:tabs>
        <w:rPr>
          <w:noProof/>
        </w:rPr>
      </w:pPr>
      <w:hyperlink w:anchor="_Toc254877559" w:history="1">
        <w:r>
          <w:rPr>
            <w:rStyle w:val="Hyperlink"/>
            <w:noProof/>
          </w:rPr>
          <w:t>4.1</w:t>
        </w:r>
        <w:r>
          <w:rPr>
            <w:noProof/>
          </w:rPr>
          <w:tab/>
        </w:r>
        <w:r>
          <w:rPr>
            <w:rStyle w:val="Hyperlink"/>
            <w:noProof/>
          </w:rPr>
          <w:t>Electronic Fingerprint Images</w:t>
        </w:r>
        <w:r>
          <w:rPr>
            <w:noProof/>
            <w:webHidden/>
          </w:rPr>
          <w:tab/>
        </w:r>
        <w:r>
          <w:rPr>
            <w:noProof/>
            <w:webHidden/>
          </w:rPr>
          <w:fldChar w:fldCharType="begin"/>
        </w:r>
        <w:r>
          <w:rPr>
            <w:noProof/>
            <w:webHidden/>
          </w:rPr>
          <w:instrText xml:space="preserve"> PAGEREF _Toc254877559 \h </w:instrText>
        </w:r>
        <w:r>
          <w:rPr>
            <w:noProof/>
            <w:webHidden/>
          </w:rPr>
        </w:r>
        <w:r>
          <w:rPr>
            <w:noProof/>
            <w:webHidden/>
          </w:rPr>
          <w:fldChar w:fldCharType="separate"/>
        </w:r>
        <w:r>
          <w:rPr>
            <w:noProof/>
            <w:webHidden/>
          </w:rPr>
          <w:t>8</w:t>
        </w:r>
        <w:r>
          <w:rPr>
            <w:noProof/>
            <w:webHidden/>
          </w:rPr>
          <w:fldChar w:fldCharType="end"/>
        </w:r>
      </w:hyperlink>
    </w:p>
    <w:p w:rsidR="0037201D" w:rsidRDefault="0037201D">
      <w:pPr>
        <w:pStyle w:val="TOC2"/>
        <w:tabs>
          <w:tab w:val="left" w:pos="880"/>
          <w:tab w:val="right" w:leader="dot" w:pos="9350"/>
        </w:tabs>
        <w:rPr>
          <w:noProof/>
        </w:rPr>
      </w:pPr>
      <w:hyperlink w:anchor="_Toc254877560" w:history="1">
        <w:r>
          <w:rPr>
            <w:rStyle w:val="Hyperlink"/>
            <w:noProof/>
          </w:rPr>
          <w:t>4.2</w:t>
        </w:r>
        <w:r>
          <w:rPr>
            <w:noProof/>
          </w:rPr>
          <w:tab/>
        </w:r>
        <w:r>
          <w:rPr>
            <w:rStyle w:val="Hyperlink"/>
            <w:noProof/>
          </w:rPr>
          <w:t>Fingerprint Image Compression / Decompression Algorithm</w:t>
        </w:r>
        <w:r>
          <w:rPr>
            <w:noProof/>
            <w:webHidden/>
          </w:rPr>
          <w:tab/>
        </w:r>
        <w:r>
          <w:rPr>
            <w:noProof/>
            <w:webHidden/>
          </w:rPr>
          <w:fldChar w:fldCharType="begin"/>
        </w:r>
        <w:r>
          <w:rPr>
            <w:noProof/>
            <w:webHidden/>
          </w:rPr>
          <w:instrText xml:space="preserve"> PAGEREF _Toc254877560 \h </w:instrText>
        </w:r>
        <w:r>
          <w:rPr>
            <w:noProof/>
            <w:webHidden/>
          </w:rPr>
        </w:r>
        <w:r>
          <w:rPr>
            <w:noProof/>
            <w:webHidden/>
          </w:rPr>
          <w:fldChar w:fldCharType="separate"/>
        </w:r>
        <w:r>
          <w:rPr>
            <w:noProof/>
            <w:webHidden/>
          </w:rPr>
          <w:t>9</w:t>
        </w:r>
        <w:r>
          <w:rPr>
            <w:noProof/>
            <w:webHidden/>
          </w:rPr>
          <w:fldChar w:fldCharType="end"/>
        </w:r>
      </w:hyperlink>
    </w:p>
    <w:p w:rsidR="0037201D" w:rsidRDefault="0037201D">
      <w:pPr>
        <w:pStyle w:val="TOC2"/>
        <w:tabs>
          <w:tab w:val="left" w:pos="880"/>
          <w:tab w:val="right" w:leader="dot" w:pos="9350"/>
        </w:tabs>
        <w:rPr>
          <w:noProof/>
        </w:rPr>
      </w:pPr>
      <w:hyperlink w:anchor="_Toc254877561" w:history="1">
        <w:r>
          <w:rPr>
            <w:rStyle w:val="Hyperlink"/>
            <w:noProof/>
          </w:rPr>
          <w:t>4.3</w:t>
        </w:r>
        <w:r>
          <w:rPr>
            <w:noProof/>
          </w:rPr>
          <w:tab/>
        </w:r>
        <w:r>
          <w:rPr>
            <w:rStyle w:val="Hyperlink"/>
            <w:noProof/>
          </w:rPr>
          <w:t>Fingerprint Image Quality Specifications</w:t>
        </w:r>
        <w:r>
          <w:rPr>
            <w:noProof/>
            <w:webHidden/>
          </w:rPr>
          <w:tab/>
        </w:r>
        <w:r>
          <w:rPr>
            <w:noProof/>
            <w:webHidden/>
          </w:rPr>
          <w:fldChar w:fldCharType="begin"/>
        </w:r>
        <w:r>
          <w:rPr>
            <w:noProof/>
            <w:webHidden/>
          </w:rPr>
          <w:instrText xml:space="preserve"> PAGEREF _Toc254877561 \h </w:instrText>
        </w:r>
        <w:r>
          <w:rPr>
            <w:noProof/>
            <w:webHidden/>
          </w:rPr>
        </w:r>
        <w:r>
          <w:rPr>
            <w:noProof/>
            <w:webHidden/>
          </w:rPr>
          <w:fldChar w:fldCharType="separate"/>
        </w:r>
        <w:r>
          <w:rPr>
            <w:noProof/>
            <w:webHidden/>
          </w:rPr>
          <w:t>9</w:t>
        </w:r>
        <w:r>
          <w:rPr>
            <w:noProof/>
            <w:webHidden/>
          </w:rPr>
          <w:fldChar w:fldCharType="end"/>
        </w:r>
      </w:hyperlink>
    </w:p>
    <w:p w:rsidR="0037201D" w:rsidRDefault="0037201D">
      <w:pPr>
        <w:pStyle w:val="TOC1"/>
        <w:tabs>
          <w:tab w:val="left" w:pos="440"/>
          <w:tab w:val="right" w:leader="dot" w:pos="9350"/>
        </w:tabs>
        <w:rPr>
          <w:noProof/>
        </w:rPr>
      </w:pPr>
      <w:hyperlink w:anchor="_Toc254877562" w:history="1">
        <w:r>
          <w:rPr>
            <w:rStyle w:val="Hyperlink"/>
            <w:noProof/>
          </w:rPr>
          <w:t>5</w:t>
        </w:r>
        <w:r>
          <w:rPr>
            <w:noProof/>
          </w:rPr>
          <w:tab/>
        </w:r>
        <w:r>
          <w:rPr>
            <w:rStyle w:val="Hyperlink"/>
            <w:noProof/>
          </w:rPr>
          <w:t>Data Transmission Procedures</w:t>
        </w:r>
        <w:r>
          <w:rPr>
            <w:noProof/>
            <w:webHidden/>
          </w:rPr>
          <w:tab/>
        </w:r>
        <w:r>
          <w:rPr>
            <w:noProof/>
            <w:webHidden/>
          </w:rPr>
          <w:fldChar w:fldCharType="begin"/>
        </w:r>
        <w:r>
          <w:rPr>
            <w:noProof/>
            <w:webHidden/>
          </w:rPr>
          <w:instrText xml:space="preserve"> PAGEREF _Toc254877562 \h </w:instrText>
        </w:r>
        <w:r>
          <w:rPr>
            <w:noProof/>
            <w:webHidden/>
          </w:rPr>
        </w:r>
        <w:r>
          <w:rPr>
            <w:noProof/>
            <w:webHidden/>
          </w:rPr>
          <w:fldChar w:fldCharType="separate"/>
        </w:r>
        <w:r>
          <w:rPr>
            <w:noProof/>
            <w:webHidden/>
          </w:rPr>
          <w:t>10</w:t>
        </w:r>
        <w:r>
          <w:rPr>
            <w:noProof/>
            <w:webHidden/>
          </w:rPr>
          <w:fldChar w:fldCharType="end"/>
        </w:r>
      </w:hyperlink>
    </w:p>
    <w:p w:rsidR="0037201D" w:rsidRDefault="0037201D">
      <w:pPr>
        <w:pStyle w:val="TOC2"/>
        <w:tabs>
          <w:tab w:val="left" w:pos="880"/>
          <w:tab w:val="right" w:leader="dot" w:pos="9350"/>
        </w:tabs>
        <w:rPr>
          <w:noProof/>
        </w:rPr>
      </w:pPr>
      <w:hyperlink w:anchor="_Toc254877563" w:history="1">
        <w:r>
          <w:rPr>
            <w:rStyle w:val="Hyperlink"/>
            <w:noProof/>
          </w:rPr>
          <w:t>5.1</w:t>
        </w:r>
        <w:r>
          <w:rPr>
            <w:noProof/>
          </w:rPr>
          <w:tab/>
        </w:r>
        <w:r>
          <w:rPr>
            <w:rStyle w:val="Hyperlink"/>
            <w:noProof/>
          </w:rPr>
          <w:t>Procedure for File Transfer</w:t>
        </w:r>
        <w:r>
          <w:rPr>
            <w:noProof/>
            <w:webHidden/>
          </w:rPr>
          <w:tab/>
        </w:r>
        <w:r>
          <w:rPr>
            <w:noProof/>
            <w:webHidden/>
          </w:rPr>
          <w:fldChar w:fldCharType="begin"/>
        </w:r>
        <w:r>
          <w:rPr>
            <w:noProof/>
            <w:webHidden/>
          </w:rPr>
          <w:instrText xml:space="preserve"> PAGEREF _Toc254877563 \h </w:instrText>
        </w:r>
        <w:r>
          <w:rPr>
            <w:noProof/>
            <w:webHidden/>
          </w:rPr>
        </w:r>
        <w:r>
          <w:rPr>
            <w:noProof/>
            <w:webHidden/>
          </w:rPr>
          <w:fldChar w:fldCharType="separate"/>
        </w:r>
        <w:r>
          <w:rPr>
            <w:noProof/>
            <w:webHidden/>
          </w:rPr>
          <w:t>10</w:t>
        </w:r>
        <w:r>
          <w:rPr>
            <w:noProof/>
            <w:webHidden/>
          </w:rPr>
          <w:fldChar w:fldCharType="end"/>
        </w:r>
      </w:hyperlink>
    </w:p>
    <w:p w:rsidR="0037201D" w:rsidRDefault="0037201D">
      <w:pPr>
        <w:pStyle w:val="TOC2"/>
        <w:tabs>
          <w:tab w:val="left" w:pos="880"/>
          <w:tab w:val="right" w:leader="dot" w:pos="9350"/>
        </w:tabs>
        <w:rPr>
          <w:noProof/>
        </w:rPr>
      </w:pPr>
      <w:hyperlink w:anchor="_Toc254877564" w:history="1">
        <w:r>
          <w:rPr>
            <w:rStyle w:val="Hyperlink"/>
            <w:noProof/>
          </w:rPr>
          <w:t>5.2</w:t>
        </w:r>
        <w:r>
          <w:rPr>
            <w:noProof/>
          </w:rPr>
          <w:tab/>
        </w:r>
        <w:r>
          <w:rPr>
            <w:rStyle w:val="Hyperlink"/>
            <w:noProof/>
          </w:rPr>
          <w:t>File Naming Convention</w:t>
        </w:r>
        <w:r>
          <w:rPr>
            <w:noProof/>
            <w:webHidden/>
          </w:rPr>
          <w:tab/>
        </w:r>
        <w:r>
          <w:rPr>
            <w:noProof/>
            <w:webHidden/>
          </w:rPr>
          <w:fldChar w:fldCharType="begin"/>
        </w:r>
        <w:r>
          <w:rPr>
            <w:noProof/>
            <w:webHidden/>
          </w:rPr>
          <w:instrText xml:space="preserve"> PAGEREF _Toc254877564 \h </w:instrText>
        </w:r>
        <w:r>
          <w:rPr>
            <w:noProof/>
            <w:webHidden/>
          </w:rPr>
        </w:r>
        <w:r>
          <w:rPr>
            <w:noProof/>
            <w:webHidden/>
          </w:rPr>
          <w:fldChar w:fldCharType="separate"/>
        </w:r>
        <w:r>
          <w:rPr>
            <w:noProof/>
            <w:webHidden/>
          </w:rPr>
          <w:t>11</w:t>
        </w:r>
        <w:r>
          <w:rPr>
            <w:noProof/>
            <w:webHidden/>
          </w:rPr>
          <w:fldChar w:fldCharType="end"/>
        </w:r>
      </w:hyperlink>
    </w:p>
    <w:p w:rsidR="0037201D" w:rsidRDefault="0037201D">
      <w:pPr>
        <w:pStyle w:val="TOC2"/>
        <w:tabs>
          <w:tab w:val="left" w:pos="880"/>
          <w:tab w:val="right" w:leader="dot" w:pos="9350"/>
        </w:tabs>
        <w:rPr>
          <w:noProof/>
        </w:rPr>
      </w:pPr>
      <w:hyperlink w:anchor="_Toc254877565" w:history="1">
        <w:r>
          <w:rPr>
            <w:rStyle w:val="Hyperlink"/>
            <w:noProof/>
          </w:rPr>
          <w:t>5.3</w:t>
        </w:r>
        <w:r>
          <w:rPr>
            <w:noProof/>
          </w:rPr>
          <w:tab/>
        </w:r>
        <w:r>
          <w:rPr>
            <w:rStyle w:val="Hyperlink"/>
            <w:noProof/>
          </w:rPr>
          <w:t>Procedure for Response Messages</w:t>
        </w:r>
        <w:r>
          <w:rPr>
            <w:noProof/>
            <w:webHidden/>
          </w:rPr>
          <w:tab/>
        </w:r>
        <w:r>
          <w:rPr>
            <w:noProof/>
            <w:webHidden/>
          </w:rPr>
          <w:fldChar w:fldCharType="begin"/>
        </w:r>
        <w:r>
          <w:rPr>
            <w:noProof/>
            <w:webHidden/>
          </w:rPr>
          <w:instrText xml:space="preserve"> PAGEREF _Toc254877565 \h </w:instrText>
        </w:r>
        <w:r>
          <w:rPr>
            <w:noProof/>
            <w:webHidden/>
          </w:rPr>
        </w:r>
        <w:r>
          <w:rPr>
            <w:noProof/>
            <w:webHidden/>
          </w:rPr>
          <w:fldChar w:fldCharType="separate"/>
        </w:r>
        <w:r>
          <w:rPr>
            <w:noProof/>
            <w:webHidden/>
          </w:rPr>
          <w:t>11</w:t>
        </w:r>
        <w:r>
          <w:rPr>
            <w:noProof/>
            <w:webHidden/>
          </w:rPr>
          <w:fldChar w:fldCharType="end"/>
        </w:r>
      </w:hyperlink>
    </w:p>
    <w:p w:rsidR="0037201D" w:rsidRDefault="0037201D">
      <w:pPr>
        <w:pStyle w:val="TOC1"/>
        <w:tabs>
          <w:tab w:val="left" w:pos="440"/>
          <w:tab w:val="right" w:leader="dot" w:pos="9350"/>
        </w:tabs>
        <w:rPr>
          <w:noProof/>
        </w:rPr>
      </w:pPr>
      <w:hyperlink w:anchor="_Toc254877566" w:history="1">
        <w:r>
          <w:rPr>
            <w:rStyle w:val="Hyperlink"/>
            <w:noProof/>
          </w:rPr>
          <w:t>6</w:t>
        </w:r>
        <w:r>
          <w:rPr>
            <w:noProof/>
          </w:rPr>
          <w:tab/>
        </w:r>
        <w:r>
          <w:rPr>
            <w:rStyle w:val="Hyperlink"/>
            <w:noProof/>
          </w:rPr>
          <w:t>Document Change History</w:t>
        </w:r>
        <w:r>
          <w:rPr>
            <w:noProof/>
            <w:webHidden/>
          </w:rPr>
          <w:tab/>
        </w:r>
        <w:r>
          <w:rPr>
            <w:noProof/>
            <w:webHidden/>
          </w:rPr>
          <w:fldChar w:fldCharType="begin"/>
        </w:r>
        <w:r>
          <w:rPr>
            <w:noProof/>
            <w:webHidden/>
          </w:rPr>
          <w:instrText xml:space="preserve"> PAGEREF _Toc254877566 \h </w:instrText>
        </w:r>
        <w:r>
          <w:rPr>
            <w:noProof/>
            <w:webHidden/>
          </w:rPr>
        </w:r>
        <w:r>
          <w:rPr>
            <w:noProof/>
            <w:webHidden/>
          </w:rPr>
          <w:fldChar w:fldCharType="separate"/>
        </w:r>
        <w:r>
          <w:rPr>
            <w:noProof/>
            <w:webHidden/>
          </w:rPr>
          <w:t>12</w:t>
        </w:r>
        <w:r>
          <w:rPr>
            <w:noProof/>
            <w:webHidden/>
          </w:rPr>
          <w:fldChar w:fldCharType="end"/>
        </w:r>
      </w:hyperlink>
    </w:p>
    <w:p w:rsidR="0037201D" w:rsidRDefault="0037201D">
      <w:r>
        <w:fldChar w:fldCharType="end"/>
      </w:r>
    </w:p>
    <w:p w:rsidR="0037201D" w:rsidRDefault="0037201D">
      <w:pPr>
        <w:pStyle w:val="Heading1"/>
      </w:pPr>
      <w:bookmarkStart w:id="0" w:name="_Toc254877542"/>
      <w:r>
        <w:t>Introduction</w:t>
      </w:r>
      <w:bookmarkEnd w:id="0"/>
    </w:p>
    <w:p w:rsidR="0037201D" w:rsidRDefault="0037201D">
      <w:pPr>
        <w:pStyle w:val="Heading2"/>
      </w:pPr>
      <w:bookmarkStart w:id="1" w:name="_Toc254877543"/>
      <w:r>
        <w:t>System Description</w:t>
      </w:r>
      <w:bookmarkEnd w:id="1"/>
    </w:p>
    <w:p w:rsidR="0037201D" w:rsidRDefault="0037201D">
      <w:pPr>
        <w:pStyle w:val="BodyText"/>
        <w:rPr>
          <w:color w:val="333333"/>
        </w:rPr>
      </w:pPr>
      <w:r>
        <w:rPr>
          <w:color w:val="333333"/>
        </w:rPr>
        <w:t xml:space="preserve">The State of </w:t>
      </w:r>
      <w:smartTag w:uri="urn:schemas-microsoft-com:office:smarttags" w:element="State">
        <w:smartTag w:uri="urn:schemas-microsoft-com:office:smarttags" w:element="place">
          <w:r>
            <w:rPr>
              <w:color w:val="333333"/>
            </w:rPr>
            <w:t>Ohio</w:t>
          </w:r>
        </w:smartTag>
      </w:smartTag>
      <w:r>
        <w:rPr>
          <w:color w:val="333333"/>
        </w:rPr>
        <w:t xml:space="preserve"> has an operational Automated Fingerprint Identification System (AFIS) with an integrated Computerized Criminal History (CCH) Database. The Ohio Bureau of Criminal Identification and Investigation (BCI&amp;I) accepts electronic submission of fingerprint records from local </w:t>
      </w:r>
      <w:smartTag w:uri="urn:schemas-microsoft-com:office:smarttags" w:element="State">
        <w:smartTag w:uri="urn:schemas-microsoft-com:office:smarttags" w:element="place">
          <w:r>
            <w:rPr>
              <w:color w:val="333333"/>
            </w:rPr>
            <w:t>Ohio</w:t>
          </w:r>
        </w:smartTag>
      </w:smartTag>
      <w:r>
        <w:rPr>
          <w:color w:val="333333"/>
        </w:rPr>
        <w:t xml:space="preserve"> law enforcement agencies, courts, and Correctional Facilities.  This electronic interface is designed to transfer fingerprint records between remote Livescan devices at the local level and the State AFIS.  The design of this interface is deliberately similar to the FBI’s </w:t>
      </w:r>
      <w:r>
        <w:rPr>
          <w:i/>
          <w:color w:val="333333"/>
        </w:rPr>
        <w:t>Electronic Biometric Transmission Specification</w:t>
      </w:r>
      <w:r>
        <w:rPr>
          <w:color w:val="333333"/>
        </w:rPr>
        <w:t xml:space="preserve">.  By implementing a similar interface for local electronic submissions, the </w:t>
      </w:r>
      <w:smartTag w:uri="urn:schemas-microsoft-com:office:smarttags" w:element="PersonName">
        <w:r>
          <w:rPr>
            <w:color w:val="333333"/>
          </w:rPr>
          <w:t>Ohio AFIS</w:t>
        </w:r>
      </w:smartTag>
      <w:r>
        <w:rPr>
          <w:color w:val="333333"/>
        </w:rPr>
        <w:t xml:space="preserve"> is positioned to forward records to the FBI’s Integrated Automated Fingerprint Identification System (IAFIS).  Figure 1 below illustrates the flow of electronic ten-print submissions.  This document describes the interface shown between the local </w:t>
      </w:r>
      <w:smartTag w:uri="urn:schemas-microsoft-com:office:smarttags" w:element="State">
        <w:smartTag w:uri="urn:schemas-microsoft-com:office:smarttags" w:element="place">
          <w:r>
            <w:rPr>
              <w:color w:val="333333"/>
            </w:rPr>
            <w:t>Ohio</w:t>
          </w:r>
        </w:smartTag>
      </w:smartTag>
      <w:r>
        <w:rPr>
          <w:color w:val="333333"/>
        </w:rPr>
        <w:t xml:space="preserve"> agencies and the BCI&amp;I. The FBI in conjunction with the National Institute of Standards and Technology (NIST), and the fingerprint identification community, has developed a standard for electronically encoding and transmitting fingerprint images as well as, identification, arrest, and correctional facility data.  This standard is an American National Standards Institute (ANSI) standard entitled </w:t>
      </w:r>
      <w:r>
        <w:rPr>
          <w:i/>
          <w:color w:val="333333"/>
        </w:rPr>
        <w:t>Data Format for the Interchange of Fingerprint Information</w:t>
      </w:r>
      <w:r>
        <w:rPr>
          <w:color w:val="333333"/>
        </w:rPr>
        <w:t>.  The NIST standard defines the content, format and units of measurement for the exchange of information that may be used in the fingerprint identification of a subject.</w:t>
      </w:r>
    </w:p>
    <w:p w:rsidR="0037201D" w:rsidRDefault="0037201D">
      <w:pPr>
        <w:pStyle w:val="Heading2"/>
      </w:pPr>
      <w:bookmarkStart w:id="2" w:name="_Toc254877544"/>
      <w:r>
        <w:t>Interface Description</w:t>
      </w:r>
      <w:bookmarkEnd w:id="2"/>
    </w:p>
    <w:p w:rsidR="0037201D" w:rsidRDefault="0037201D">
      <w:pPr>
        <w:pStyle w:val="BodyText"/>
        <w:rPr>
          <w:color w:val="333333"/>
        </w:rPr>
      </w:pPr>
      <w:r>
        <w:rPr>
          <w:color w:val="333333"/>
        </w:rPr>
        <w:t xml:space="preserve">While the NIST standard referenced above will allow all Livescan devices to communicate with </w:t>
      </w:r>
      <w:smartTag w:uri="urn:schemas-microsoft-com:office:smarttags" w:element="State">
        <w:r>
          <w:rPr>
            <w:color w:val="333333"/>
          </w:rPr>
          <w:t>Ohio</w:t>
        </w:r>
      </w:smartTag>
      <w:r>
        <w:rPr>
          <w:color w:val="333333"/>
        </w:rPr>
        <w:t xml:space="preserve">’s AFIS, the purpose of this document is to specify certain requirements to which </w:t>
      </w:r>
      <w:smartTag w:uri="urn:schemas-microsoft-com:office:smarttags" w:element="State">
        <w:smartTag w:uri="urn:schemas-microsoft-com:office:smarttags" w:element="place">
          <w:r>
            <w:rPr>
              <w:color w:val="333333"/>
            </w:rPr>
            <w:t>Ohio</w:t>
          </w:r>
        </w:smartTag>
      </w:smartTag>
      <w:r>
        <w:rPr>
          <w:color w:val="333333"/>
        </w:rPr>
        <w:t xml:space="preserve"> agencies must adhere to communicate electronically with the </w:t>
      </w:r>
      <w:smartTag w:uri="urn:schemas-microsoft-com:office:smarttags" w:element="PersonName">
        <w:r>
          <w:rPr>
            <w:color w:val="333333"/>
          </w:rPr>
          <w:t>Ohio AFIS</w:t>
        </w:r>
      </w:smartTag>
      <w:r>
        <w:rPr>
          <w:color w:val="333333"/>
        </w:rPr>
        <w:t xml:space="preserve">.  This interface description does not deviate from the NIST standard, but further describes the portions of the standard that are to be defined by the NIST message receiver (that is, the </w:t>
      </w:r>
      <w:smartTag w:uri="urn:schemas-microsoft-com:office:smarttags" w:element="PersonName">
        <w:r>
          <w:rPr>
            <w:color w:val="333333"/>
          </w:rPr>
          <w:t>Ohio AFIS</w:t>
        </w:r>
      </w:smartTag>
      <w:r>
        <w:rPr>
          <w:color w:val="333333"/>
        </w:rPr>
        <w:t xml:space="preserve">). The basic requirements for Logical Records </w:t>
      </w:r>
      <w:r>
        <w:rPr>
          <w:b/>
          <w:color w:val="FF0000"/>
        </w:rPr>
        <w:t>Type-1, Type-4, and Type 15</w:t>
      </w:r>
      <w:r>
        <w:rPr>
          <w:color w:val="333333"/>
        </w:rPr>
        <w:t xml:space="preserve"> set forth in the NIST standard are also applicable to transmissions to the </w:t>
      </w:r>
      <w:smartTag w:uri="urn:schemas-microsoft-com:office:smarttags" w:element="PersonName">
        <w:r>
          <w:rPr>
            <w:color w:val="333333"/>
          </w:rPr>
          <w:t>Ohio AFIS</w:t>
        </w:r>
      </w:smartTag>
      <w:r>
        <w:rPr>
          <w:color w:val="333333"/>
        </w:rPr>
        <w:t xml:space="preserve">.  However, the Ohio-specific requirements for the contents and format of </w:t>
      </w:r>
      <w:r>
        <w:rPr>
          <w:b/>
          <w:color w:val="FF0000"/>
        </w:rPr>
        <w:t xml:space="preserve">Type-2 </w:t>
      </w:r>
      <w:r>
        <w:rPr>
          <w:color w:val="333333"/>
        </w:rPr>
        <w:t>Logical Records, as well as for any special requirements for the other record types are contained in this description.</w:t>
      </w:r>
    </w:p>
    <w:p w:rsidR="0037201D" w:rsidRDefault="0037201D">
      <w:pPr>
        <w:pStyle w:val="Heading2"/>
      </w:pPr>
      <w:bookmarkStart w:id="3" w:name="_Toc254877545"/>
      <w:r>
        <w:t>Specification Scope</w:t>
      </w:r>
      <w:bookmarkEnd w:id="3"/>
    </w:p>
    <w:p w:rsidR="0037201D" w:rsidRDefault="0037201D">
      <w:pPr>
        <w:pStyle w:val="BodyText"/>
        <w:rPr>
          <w:color w:val="333333"/>
        </w:rPr>
      </w:pPr>
      <w:r>
        <w:rPr>
          <w:color w:val="333333"/>
        </w:rPr>
        <w:t xml:space="preserve">This document specifies the file and record content, format and data codes necessary for the exchange of fingerprint identification information between local users and the </w:t>
      </w:r>
      <w:smartTag w:uri="urn:schemas-microsoft-com:office:smarttags" w:element="PersonName">
        <w:r>
          <w:rPr>
            <w:color w:val="333333"/>
          </w:rPr>
          <w:t>Ohio AFIS</w:t>
        </w:r>
      </w:smartTag>
      <w:r>
        <w:rPr>
          <w:color w:val="333333"/>
        </w:rPr>
        <w:t>.  It provides a description of all requests and responses associated with electronic ten-print fingerprint identification services.</w:t>
      </w:r>
    </w:p>
    <w:p w:rsidR="0037201D" w:rsidRDefault="0037201D">
      <w:pPr>
        <w:pStyle w:val="BodyText"/>
        <w:rPr>
          <w:color w:val="333333"/>
        </w:rPr>
      </w:pPr>
      <w:r>
        <w:rPr>
          <w:color w:val="333333"/>
        </w:rPr>
        <w:t>Ten-print services can be accessed through electronic ten-print submissions.  Electronic submissions involve processing and evaluation judgments by BCI&amp;I personnel.  All transactions and messages are compliant with the NIST standard for exchange of fingerprint information.</w:t>
      </w:r>
    </w:p>
    <w:p w:rsidR="0037201D" w:rsidRDefault="0037201D">
      <w:pPr>
        <w:rPr>
          <w:b/>
        </w:rPr>
      </w:pPr>
      <w:r>
        <w:rPr>
          <w:b/>
        </w:rPr>
        <w:br/>
        <w:t>Figure 1 – Electronic Ten-Print Transaction Workflow</w:t>
      </w:r>
    </w:p>
    <w:p w:rsidR="0037201D" w:rsidRDefault="0037201D">
      <w:r>
        <w:object w:dxaOrig="8946" w:dyaOrig="94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466.5pt" o:ole="">
            <v:imagedata r:id="rId7" o:title=""/>
          </v:shape>
          <o:OLEObject Type="Embed" ProgID="Visio.Drawing.11" ShapeID="_x0000_i1025" DrawAspect="Content" ObjectID="_1336886942" r:id="rId8"/>
        </w:object>
      </w:r>
    </w:p>
    <w:p w:rsidR="0037201D" w:rsidRDefault="0037201D"/>
    <w:p w:rsidR="0037201D" w:rsidRDefault="0037201D">
      <w:pPr>
        <w:rPr>
          <w:rFonts w:ascii="Cambria" w:hAnsi="Cambria"/>
          <w:b/>
          <w:bCs/>
          <w:color w:val="365F91"/>
          <w:sz w:val="28"/>
          <w:szCs w:val="28"/>
        </w:rPr>
      </w:pPr>
      <w:r>
        <w:br w:type="page"/>
      </w:r>
    </w:p>
    <w:p w:rsidR="0037201D" w:rsidRDefault="0037201D">
      <w:pPr>
        <w:pStyle w:val="Heading1"/>
      </w:pPr>
      <w:bookmarkStart w:id="4" w:name="_Toc254877546"/>
      <w:r>
        <w:t>Description of Transactions</w:t>
      </w:r>
      <w:bookmarkEnd w:id="4"/>
    </w:p>
    <w:p w:rsidR="0037201D" w:rsidRDefault="0037201D">
      <w:pPr>
        <w:pStyle w:val="Heading2"/>
      </w:pPr>
      <w:bookmarkStart w:id="5" w:name="_Toc254877547"/>
      <w:r>
        <w:t>Ten-Print Submissions</w:t>
      </w:r>
      <w:bookmarkEnd w:id="5"/>
    </w:p>
    <w:p w:rsidR="0037201D" w:rsidRDefault="0037201D">
      <w:pPr>
        <w:pStyle w:val="BodyText"/>
        <w:rPr>
          <w:b/>
          <w:color w:val="333333"/>
        </w:rPr>
      </w:pPr>
      <w:r>
        <w:rPr>
          <w:color w:val="333333"/>
        </w:rPr>
        <w:t xml:space="preserve">Electronic Ten-Print Submissions will originate from Livescan devices at local law enforcement agencies, Courts, and Correctional Facilities.  </w:t>
      </w:r>
      <w:r>
        <w:rPr>
          <w:b/>
          <w:color w:val="333333"/>
        </w:rPr>
        <w:t xml:space="preserve">Livescan devices must edit all input data that will be included in a NIST record, whether the data is entered using the Livescan keyboard or from an external source such as a booking system.  The Livescan devices must send edited “error free” NIST records to the </w:t>
      </w:r>
      <w:smartTag w:uri="urn:schemas-microsoft-com:office:smarttags" w:element="PersonName">
        <w:smartTag w:uri="urn:schemas-microsoft-com:office:smarttags" w:element="State">
          <w:smartTag w:uri="urn:schemas-microsoft-com:office:smarttags" w:element="place">
            <w:smartTag w:uri="urn:schemas-microsoft-com:office:smarttags" w:element="PersonName">
              <w:r>
                <w:rPr>
                  <w:b/>
                  <w:color w:val="333333"/>
                </w:rPr>
                <w:t>Ohio</w:t>
              </w:r>
            </w:smartTag>
          </w:smartTag>
          <w:r>
            <w:rPr>
              <w:b/>
              <w:color w:val="333333"/>
            </w:rPr>
            <w:t xml:space="preserve"> AFIS</w:t>
          </w:r>
        </w:smartTag>
      </w:smartTag>
      <w:r>
        <w:rPr>
          <w:b/>
          <w:color w:val="333333"/>
        </w:rPr>
        <w:t>.</w:t>
      </w:r>
      <w:r>
        <w:rPr>
          <w:color w:val="333333"/>
        </w:rPr>
        <w:t xml:space="preserve">  </w:t>
      </w:r>
      <w:r>
        <w:rPr>
          <w:b/>
          <w:color w:val="333333"/>
        </w:rPr>
        <w:t xml:space="preserve">Edits must be based on the information contained in this document.  All </w:t>
      </w:r>
      <w:smartTag w:uri="urn:schemas-microsoft-com:office:smarttags" w:element="State">
        <w:r>
          <w:rPr>
            <w:b/>
            <w:color w:val="333333"/>
          </w:rPr>
          <w:t>Ohio</w:t>
        </w:r>
      </w:smartTag>
      <w:r>
        <w:rPr>
          <w:b/>
          <w:color w:val="333333"/>
        </w:rPr>
        <w:t xml:space="preserve"> Revised Codes in NIST records submitted to the </w:t>
      </w:r>
      <w:smartTag w:uri="urn:schemas-microsoft-com:office:smarttags" w:element="PersonName">
        <w:smartTag w:uri="urn:schemas-microsoft-com:office:smarttags" w:element="place">
          <w:smartTag w:uri="urn:schemas-microsoft-com:office:smarttags" w:element="State">
            <w:smartTag w:uri="urn:schemas-microsoft-com:office:smarttags" w:element="PersonName">
              <w:r>
                <w:rPr>
                  <w:b/>
                  <w:color w:val="333333"/>
                </w:rPr>
                <w:t>Ohio</w:t>
              </w:r>
            </w:smartTag>
          </w:smartTag>
          <w:r>
            <w:rPr>
              <w:b/>
              <w:color w:val="333333"/>
            </w:rPr>
            <w:t xml:space="preserve"> AFIS</w:t>
          </w:r>
        </w:smartTag>
      </w:smartTag>
      <w:r>
        <w:rPr>
          <w:b/>
          <w:color w:val="333333"/>
        </w:rPr>
        <w:t xml:space="preserve"> must be defined in the ORC table approved by BCI&amp;I.  NIST records containing undefined ORC codes will be rejected. </w:t>
      </w:r>
    </w:p>
    <w:p w:rsidR="0037201D" w:rsidRDefault="0037201D">
      <w:pPr>
        <w:pStyle w:val="BodyText"/>
        <w:rPr>
          <w:color w:val="333333"/>
        </w:rPr>
      </w:pPr>
      <w:r>
        <w:rPr>
          <w:color w:val="333333"/>
        </w:rPr>
        <w:t xml:space="preserve"> When the NIST record arrives at BCI&amp;I, the </w:t>
      </w:r>
      <w:smartTag w:uri="urn:schemas-microsoft-com:office:smarttags" w:element="PersonName">
        <w:r>
          <w:rPr>
            <w:color w:val="333333"/>
          </w:rPr>
          <w:t>Ohio AFIS</w:t>
        </w:r>
      </w:smartTag>
      <w:r>
        <w:rPr>
          <w:color w:val="333333"/>
        </w:rPr>
        <w:t xml:space="preserve"> will edit the images and conduct a subject search.  If no identification is effected through comparison of candidates resulting from subject search, a fingerprint search will be executed throughout the </w:t>
      </w:r>
      <w:smartTag w:uri="urn:schemas-microsoft-com:office:smarttags" w:element="PersonName">
        <w:r>
          <w:rPr>
            <w:color w:val="333333"/>
          </w:rPr>
          <w:t>Ohio AFIS</w:t>
        </w:r>
      </w:smartTag>
      <w:r>
        <w:rPr>
          <w:color w:val="333333"/>
        </w:rPr>
        <w:t xml:space="preserve">.  The fingerprint images of any resulting file candidates will be compared to the search fingerprint images by BCI&amp;I fingerprint examiners.  If applicable, SRE or ERR responses from the </w:t>
      </w:r>
      <w:smartTag w:uri="urn:schemas-microsoft-com:office:smarttags" w:element="PersonName">
        <w:r>
          <w:rPr>
            <w:color w:val="333333"/>
          </w:rPr>
          <w:t>Ohio AFIS</w:t>
        </w:r>
      </w:smartTag>
      <w:r>
        <w:rPr>
          <w:color w:val="333333"/>
        </w:rPr>
        <w:t xml:space="preserve"> to the contributor will be electronically returned. The response times depend on the time of the request and the BCI&amp;I staff available at that time.  For example, if a request is sent at a time when </w:t>
      </w:r>
      <w:smartTag w:uri="urn:schemas-microsoft-com:office:smarttags" w:element="PersonName">
        <w:r>
          <w:rPr>
            <w:color w:val="333333"/>
          </w:rPr>
          <w:t>Ohio AFIS</w:t>
        </w:r>
      </w:smartTag>
      <w:r>
        <w:rPr>
          <w:color w:val="333333"/>
        </w:rPr>
        <w:t xml:space="preserve"> operators are off duty, the response time for that request will be longer.  </w:t>
      </w:r>
    </w:p>
    <w:p w:rsidR="0037201D" w:rsidRDefault="0037201D">
      <w:pPr>
        <w:pStyle w:val="BodyText"/>
        <w:rPr>
          <w:color w:val="333333"/>
        </w:rPr>
      </w:pPr>
      <w:r>
        <w:rPr>
          <w:color w:val="333333"/>
        </w:rPr>
        <w:t xml:space="preserve">There are 3 types of ten-print electronic submissions that will be accepted by the </w:t>
      </w:r>
      <w:smartTag w:uri="urn:schemas-microsoft-com:office:smarttags" w:element="PersonName">
        <w:r>
          <w:rPr>
            <w:color w:val="333333"/>
          </w:rPr>
          <w:t>Ohio AFIS</w:t>
        </w:r>
      </w:smartTag>
      <w:r>
        <w:rPr>
          <w:color w:val="333333"/>
        </w:rPr>
        <w:t>.  The particular type of submission is identified in the Type of Transaction (TOT) Field in the Type-1 record that is used with each transaction.  The following are the TOTs for ten-print submissions:</w:t>
      </w:r>
    </w:p>
    <w:tbl>
      <w:tblPr>
        <w:tblW w:w="0" w:type="auto"/>
        <w:tblInd w:w="2160" w:type="dxa"/>
        <w:tblLook w:val="00A0"/>
      </w:tblPr>
      <w:tblGrid>
        <w:gridCol w:w="616"/>
        <w:gridCol w:w="3983"/>
      </w:tblGrid>
      <w:tr w:rsidR="0037201D">
        <w:tc>
          <w:tcPr>
            <w:tcW w:w="0" w:type="auto"/>
          </w:tcPr>
          <w:p w:rsidR="0037201D" w:rsidRDefault="0037201D">
            <w:pPr>
              <w:spacing w:after="0" w:line="240" w:lineRule="auto"/>
              <w:rPr>
                <w:color w:val="333333"/>
                <w:sz w:val="24"/>
                <w:szCs w:val="20"/>
              </w:rPr>
            </w:pPr>
            <w:r>
              <w:rPr>
                <w:b/>
                <w:color w:val="333333"/>
                <w:sz w:val="24"/>
                <w:szCs w:val="20"/>
                <w:u w:val="single"/>
              </w:rPr>
              <w:t>TOT</w:t>
            </w:r>
          </w:p>
        </w:tc>
        <w:tc>
          <w:tcPr>
            <w:tcW w:w="0" w:type="auto"/>
          </w:tcPr>
          <w:p w:rsidR="0037201D" w:rsidRDefault="0037201D">
            <w:pPr>
              <w:spacing w:after="0" w:line="240" w:lineRule="auto"/>
              <w:rPr>
                <w:color w:val="333333"/>
                <w:sz w:val="24"/>
                <w:szCs w:val="20"/>
              </w:rPr>
            </w:pPr>
            <w:r>
              <w:rPr>
                <w:b/>
                <w:color w:val="333333"/>
                <w:sz w:val="24"/>
                <w:szCs w:val="20"/>
                <w:u w:val="single"/>
              </w:rPr>
              <w:t>TRANSACTION</w:t>
            </w:r>
          </w:p>
        </w:tc>
      </w:tr>
      <w:tr w:rsidR="0037201D">
        <w:tc>
          <w:tcPr>
            <w:tcW w:w="0" w:type="auto"/>
          </w:tcPr>
          <w:p w:rsidR="0037201D" w:rsidRDefault="0037201D">
            <w:pPr>
              <w:spacing w:after="0" w:line="240" w:lineRule="auto"/>
              <w:rPr>
                <w:color w:val="333333"/>
              </w:rPr>
            </w:pPr>
            <w:r>
              <w:t>CAR</w:t>
            </w:r>
          </w:p>
        </w:tc>
        <w:tc>
          <w:tcPr>
            <w:tcW w:w="0" w:type="auto"/>
          </w:tcPr>
          <w:p w:rsidR="0037201D" w:rsidRDefault="0037201D">
            <w:pPr>
              <w:spacing w:after="0" w:line="240" w:lineRule="auto"/>
              <w:rPr>
                <w:color w:val="333333"/>
              </w:rPr>
            </w:pPr>
            <w:r>
              <w:t>Arrest Ten-Print Submission</w:t>
            </w:r>
          </w:p>
        </w:tc>
      </w:tr>
      <w:tr w:rsidR="0037201D">
        <w:tc>
          <w:tcPr>
            <w:tcW w:w="0" w:type="auto"/>
          </w:tcPr>
          <w:p w:rsidR="0037201D" w:rsidRDefault="0037201D">
            <w:pPr>
              <w:spacing w:after="0" w:line="240" w:lineRule="auto"/>
              <w:rPr>
                <w:color w:val="333333"/>
              </w:rPr>
            </w:pPr>
            <w:r>
              <w:t>JLR</w:t>
            </w:r>
          </w:p>
        </w:tc>
        <w:tc>
          <w:tcPr>
            <w:tcW w:w="0" w:type="auto"/>
          </w:tcPr>
          <w:p w:rsidR="0037201D" w:rsidRDefault="0037201D">
            <w:pPr>
              <w:pStyle w:val="NoSpacing"/>
            </w:pPr>
            <w:r>
              <w:t xml:space="preserve">Judicial Ten-Print Submission </w:t>
            </w:r>
          </w:p>
        </w:tc>
      </w:tr>
      <w:tr w:rsidR="0037201D">
        <w:tc>
          <w:tcPr>
            <w:tcW w:w="0" w:type="auto"/>
          </w:tcPr>
          <w:p w:rsidR="0037201D" w:rsidRDefault="0037201D">
            <w:pPr>
              <w:spacing w:after="0" w:line="240" w:lineRule="auto"/>
              <w:rPr>
                <w:color w:val="333333"/>
              </w:rPr>
            </w:pPr>
            <w:r>
              <w:t>CFR</w:t>
            </w:r>
          </w:p>
        </w:tc>
        <w:tc>
          <w:tcPr>
            <w:tcW w:w="0" w:type="auto"/>
          </w:tcPr>
          <w:p w:rsidR="0037201D" w:rsidRDefault="0037201D">
            <w:pPr>
              <w:pStyle w:val="NoSpacing"/>
            </w:pPr>
            <w:r>
              <w:t xml:space="preserve"> Correctional Facility Ten-Print Submission </w:t>
            </w:r>
          </w:p>
        </w:tc>
      </w:tr>
    </w:tbl>
    <w:p w:rsidR="0037201D" w:rsidRDefault="0037201D">
      <w:pPr>
        <w:pStyle w:val="Heading3"/>
      </w:pPr>
      <w:bookmarkStart w:id="6" w:name="_Toc254877548"/>
      <w:r>
        <w:t>Arrest Ten-Print Submission (CAR)</w:t>
      </w:r>
      <w:bookmarkEnd w:id="6"/>
    </w:p>
    <w:p w:rsidR="0037201D" w:rsidRDefault="0037201D">
      <w:pPr>
        <w:pStyle w:val="NoSpacing"/>
        <w:rPr>
          <w:color w:val="333333"/>
        </w:rPr>
      </w:pPr>
      <w:r>
        <w:rPr>
          <w:color w:val="333333"/>
        </w:rPr>
        <w:t>CAR transactions are submitted to BCI&amp;I when a subject is arrested. Only one CAR transaction should be submitted for each arrest. A new arrest record will be added to the Ohio CCH database for each CAR transaction that is successfully completed. All CAR transactions will contain a unique ITN generated by the Livescan device – not from an external source such as a booking system. If the Livescan site is setup to receive a response, an SRE or ERR message will be generated when the transaction is completed. All CAR transactions must contain at least 1 arrest charge.</w:t>
      </w:r>
    </w:p>
    <w:p w:rsidR="0037201D" w:rsidRDefault="0037201D">
      <w:pPr>
        <w:pStyle w:val="NoSpacing"/>
        <w:rPr>
          <w:color w:val="333333"/>
        </w:rPr>
      </w:pPr>
    </w:p>
    <w:p w:rsidR="0037201D" w:rsidRDefault="0037201D">
      <w:pPr>
        <w:pStyle w:val="BodyText"/>
        <w:rPr>
          <w:color w:val="333333"/>
        </w:rPr>
      </w:pPr>
      <w:r>
        <w:rPr>
          <w:color w:val="333333"/>
        </w:rPr>
        <w:t>The types and (occurrences) of logical records included in an electronic arrest ten-print submission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3"/>
        <w:gridCol w:w="5669"/>
      </w:tblGrid>
      <w:tr w:rsidR="0037201D">
        <w:tc>
          <w:tcPr>
            <w:tcW w:w="0" w:type="auto"/>
          </w:tcPr>
          <w:p w:rsidR="0037201D" w:rsidRDefault="0037201D">
            <w:pPr>
              <w:pStyle w:val="NoSpacing"/>
            </w:pPr>
            <w:r>
              <w:t xml:space="preserve">Type-1 (1) </w:t>
            </w:r>
          </w:p>
        </w:tc>
        <w:tc>
          <w:tcPr>
            <w:tcW w:w="0" w:type="auto"/>
          </w:tcPr>
          <w:p w:rsidR="0037201D" w:rsidRDefault="0037201D">
            <w:pPr>
              <w:pStyle w:val="NoSpacing"/>
            </w:pPr>
            <w:r>
              <w:t>Header Record</w:t>
            </w:r>
          </w:p>
        </w:tc>
      </w:tr>
      <w:tr w:rsidR="0037201D">
        <w:tc>
          <w:tcPr>
            <w:tcW w:w="0" w:type="auto"/>
          </w:tcPr>
          <w:p w:rsidR="0037201D" w:rsidRDefault="0037201D">
            <w:pPr>
              <w:pStyle w:val="NoSpacing"/>
            </w:pPr>
            <w:r>
              <w:t>Type-2 (1)</w:t>
            </w:r>
          </w:p>
        </w:tc>
        <w:tc>
          <w:tcPr>
            <w:tcW w:w="0" w:type="auto"/>
          </w:tcPr>
          <w:p w:rsidR="0037201D" w:rsidRDefault="0037201D">
            <w:pPr>
              <w:pStyle w:val="NoSpacing"/>
            </w:pPr>
            <w:r>
              <w:t>containing SUBJECT-GROUP and ARREST-GROUP data</w:t>
            </w:r>
          </w:p>
        </w:tc>
      </w:tr>
      <w:tr w:rsidR="0037201D">
        <w:tc>
          <w:tcPr>
            <w:tcW w:w="0" w:type="auto"/>
          </w:tcPr>
          <w:p w:rsidR="0037201D" w:rsidRDefault="0037201D">
            <w:pPr>
              <w:pStyle w:val="NoSpacing"/>
            </w:pPr>
            <w:r>
              <w:t>Type-4 (14)</w:t>
            </w:r>
          </w:p>
        </w:tc>
        <w:tc>
          <w:tcPr>
            <w:tcW w:w="0" w:type="auto"/>
          </w:tcPr>
          <w:p w:rsidR="0037201D" w:rsidRDefault="0037201D">
            <w:pPr>
              <w:pStyle w:val="NoSpacing"/>
            </w:pPr>
            <w:r>
              <w:t>10 Rolled Impressions and 4 sets of Plain Impressions</w:t>
            </w:r>
          </w:p>
        </w:tc>
      </w:tr>
      <w:tr w:rsidR="0037201D">
        <w:tc>
          <w:tcPr>
            <w:tcW w:w="0" w:type="auto"/>
          </w:tcPr>
          <w:p w:rsidR="0037201D" w:rsidRDefault="0037201D">
            <w:pPr>
              <w:pStyle w:val="NoSpacing"/>
            </w:pPr>
            <w:r>
              <w:t>Type-15 (4)</w:t>
            </w:r>
          </w:p>
        </w:tc>
        <w:tc>
          <w:tcPr>
            <w:tcW w:w="0" w:type="auto"/>
          </w:tcPr>
          <w:p w:rsidR="0037201D" w:rsidRDefault="0037201D">
            <w:pPr>
              <w:pStyle w:val="NoSpacing"/>
            </w:pPr>
            <w:r>
              <w:t>2 lower palms and 2 writer’s palms (palm prints are optional)</w:t>
            </w:r>
          </w:p>
        </w:tc>
      </w:tr>
    </w:tbl>
    <w:p w:rsidR="0037201D" w:rsidRDefault="0037201D">
      <w:pPr>
        <w:pStyle w:val="Heading3"/>
      </w:pPr>
      <w:bookmarkStart w:id="7" w:name="_Toc254877549"/>
      <w:r>
        <w:t>Judicial Ten-Print Submission (JLR)</w:t>
      </w:r>
      <w:bookmarkEnd w:id="7"/>
    </w:p>
    <w:p w:rsidR="0037201D" w:rsidRDefault="0037201D">
      <w:pPr>
        <w:pStyle w:val="NoSpacing"/>
        <w:rPr>
          <w:color w:val="333333"/>
        </w:rPr>
      </w:pPr>
      <w:r>
        <w:rPr>
          <w:color w:val="333333"/>
        </w:rPr>
        <w:t>JLR transactions are submitted by the court and contain arrest and final disposition information.  These transactions are submitted to BCI&amp;I after a subject have been to court and at least one charge disposition is known. All JLR transactions will contain a unique ITN generated by the Livescan device – not from an external source such as a booking system. If the Livescan site is setup to receive a response, an SRE or ERR message will be generated when the transaction is completed. All JLR transactions must contain at least 1 arrest charge and 1 court charge.</w:t>
      </w:r>
    </w:p>
    <w:p w:rsidR="0037201D" w:rsidRDefault="0037201D">
      <w:pPr>
        <w:pStyle w:val="BodyText"/>
        <w:rPr>
          <w:color w:val="333333"/>
        </w:rPr>
      </w:pPr>
    </w:p>
    <w:p w:rsidR="0037201D" w:rsidRDefault="0037201D">
      <w:pPr>
        <w:pStyle w:val="BodyText"/>
        <w:rPr>
          <w:color w:val="333333"/>
        </w:rPr>
      </w:pPr>
      <w:r>
        <w:rPr>
          <w:color w:val="333333"/>
        </w:rPr>
        <w:t>The types and (occurrences) of logical records included in an electronic judicial ten-print submission are as follows: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3"/>
        <w:gridCol w:w="6475"/>
      </w:tblGrid>
      <w:tr w:rsidR="0037201D">
        <w:tc>
          <w:tcPr>
            <w:tcW w:w="0" w:type="auto"/>
          </w:tcPr>
          <w:p w:rsidR="0037201D" w:rsidRDefault="0037201D">
            <w:pPr>
              <w:pStyle w:val="NoSpacing"/>
            </w:pPr>
            <w:r>
              <w:t xml:space="preserve">Type-1 (1) </w:t>
            </w:r>
          </w:p>
        </w:tc>
        <w:tc>
          <w:tcPr>
            <w:tcW w:w="0" w:type="auto"/>
          </w:tcPr>
          <w:p w:rsidR="0037201D" w:rsidRDefault="0037201D">
            <w:pPr>
              <w:pStyle w:val="NoSpacing"/>
            </w:pPr>
            <w:r>
              <w:t>Header Record</w:t>
            </w:r>
          </w:p>
        </w:tc>
      </w:tr>
      <w:tr w:rsidR="0037201D">
        <w:tc>
          <w:tcPr>
            <w:tcW w:w="0" w:type="auto"/>
          </w:tcPr>
          <w:p w:rsidR="0037201D" w:rsidRDefault="0037201D">
            <w:pPr>
              <w:pStyle w:val="NoSpacing"/>
            </w:pPr>
            <w:r>
              <w:t>Type-2 (1)</w:t>
            </w:r>
          </w:p>
        </w:tc>
        <w:tc>
          <w:tcPr>
            <w:tcW w:w="0" w:type="auto"/>
          </w:tcPr>
          <w:p w:rsidR="0037201D" w:rsidRDefault="0037201D">
            <w:pPr>
              <w:pStyle w:val="NoSpacing"/>
            </w:pPr>
            <w:r>
              <w:t>Containing SUBJECT-GROUP, ARREST-GROUP and COURT-GROUP data</w:t>
            </w:r>
          </w:p>
        </w:tc>
      </w:tr>
      <w:tr w:rsidR="0037201D">
        <w:tc>
          <w:tcPr>
            <w:tcW w:w="0" w:type="auto"/>
          </w:tcPr>
          <w:p w:rsidR="0037201D" w:rsidRDefault="0037201D">
            <w:pPr>
              <w:pStyle w:val="NoSpacing"/>
            </w:pPr>
            <w:r>
              <w:t>Type-4 (14)</w:t>
            </w:r>
          </w:p>
        </w:tc>
        <w:tc>
          <w:tcPr>
            <w:tcW w:w="0" w:type="auto"/>
          </w:tcPr>
          <w:p w:rsidR="0037201D" w:rsidRDefault="0037201D">
            <w:pPr>
              <w:pStyle w:val="NoSpacing"/>
            </w:pPr>
            <w:r>
              <w:t>10 Rolled Impressions and 4 sets of Plain Impressions</w:t>
            </w:r>
          </w:p>
        </w:tc>
      </w:tr>
      <w:tr w:rsidR="0037201D">
        <w:tc>
          <w:tcPr>
            <w:tcW w:w="0" w:type="auto"/>
          </w:tcPr>
          <w:p w:rsidR="0037201D" w:rsidRDefault="0037201D">
            <w:pPr>
              <w:pStyle w:val="NoSpacing"/>
            </w:pPr>
            <w:r>
              <w:t>Type-15 (4)</w:t>
            </w:r>
          </w:p>
        </w:tc>
        <w:tc>
          <w:tcPr>
            <w:tcW w:w="0" w:type="auto"/>
          </w:tcPr>
          <w:p w:rsidR="0037201D" w:rsidRDefault="0037201D">
            <w:pPr>
              <w:pStyle w:val="NoSpacing"/>
            </w:pPr>
            <w:r>
              <w:t>2 lower palms and 2 writer’s palms (palm prints are optional)</w:t>
            </w:r>
          </w:p>
        </w:tc>
      </w:tr>
    </w:tbl>
    <w:p w:rsidR="0037201D" w:rsidRDefault="0037201D">
      <w:pPr>
        <w:pStyle w:val="ListContinue"/>
        <w:ind w:left="0"/>
        <w:rPr>
          <w:b/>
          <w:color w:val="333333"/>
          <w:sz w:val="22"/>
          <w:szCs w:val="22"/>
        </w:rPr>
      </w:pPr>
    </w:p>
    <w:p w:rsidR="0037201D" w:rsidRDefault="0037201D">
      <w:pPr>
        <w:pStyle w:val="ListContinue"/>
        <w:ind w:left="0"/>
        <w:rPr>
          <w:rFonts w:ascii="Calibri" w:hAnsi="Calibri"/>
          <w:b/>
          <w:color w:val="333333"/>
          <w:sz w:val="22"/>
          <w:szCs w:val="22"/>
        </w:rPr>
      </w:pPr>
      <w:r>
        <w:rPr>
          <w:rFonts w:ascii="Calibri" w:hAnsi="Calibri"/>
          <w:b/>
          <w:color w:val="333333"/>
          <w:sz w:val="22"/>
          <w:szCs w:val="22"/>
        </w:rPr>
        <w:t xml:space="preserve">Note: A JLR transaction must </w:t>
      </w:r>
      <w:r>
        <w:rPr>
          <w:rFonts w:ascii="Calibri" w:hAnsi="Calibri"/>
          <w:b/>
          <w:color w:val="333333"/>
          <w:sz w:val="22"/>
          <w:szCs w:val="22"/>
          <w:u w:val="single"/>
        </w:rPr>
        <w:t>not be</w:t>
      </w:r>
      <w:r>
        <w:rPr>
          <w:rFonts w:ascii="Calibri" w:hAnsi="Calibri"/>
          <w:b/>
          <w:color w:val="333333"/>
          <w:sz w:val="22"/>
          <w:szCs w:val="22"/>
        </w:rPr>
        <w:t xml:space="preserve"> submitted to BCI&amp;I if any of the following cases apply:</w:t>
      </w:r>
    </w:p>
    <w:p w:rsidR="0037201D" w:rsidRDefault="0037201D">
      <w:pPr>
        <w:pStyle w:val="ListContinue"/>
        <w:numPr>
          <w:ilvl w:val="0"/>
          <w:numId w:val="13"/>
        </w:numPr>
        <w:ind w:left="720"/>
        <w:rPr>
          <w:rFonts w:ascii="Calibri" w:hAnsi="Calibri"/>
          <w:color w:val="333333"/>
          <w:sz w:val="22"/>
          <w:szCs w:val="22"/>
        </w:rPr>
      </w:pPr>
      <w:r>
        <w:rPr>
          <w:rFonts w:ascii="Calibri" w:hAnsi="Calibri"/>
          <w:color w:val="333333"/>
          <w:sz w:val="22"/>
          <w:szCs w:val="22"/>
        </w:rPr>
        <w:t>the arresting agency already submitted a CAR transaction for the same arrest</w:t>
      </w:r>
    </w:p>
    <w:p w:rsidR="0037201D" w:rsidRDefault="0037201D">
      <w:pPr>
        <w:pStyle w:val="ListContinue"/>
        <w:numPr>
          <w:ilvl w:val="0"/>
          <w:numId w:val="13"/>
        </w:numPr>
        <w:ind w:left="720"/>
        <w:rPr>
          <w:rFonts w:ascii="Calibri" w:hAnsi="Calibri"/>
          <w:color w:val="333333"/>
          <w:sz w:val="22"/>
          <w:szCs w:val="22"/>
        </w:rPr>
      </w:pPr>
      <w:r>
        <w:rPr>
          <w:rFonts w:ascii="Calibri" w:hAnsi="Calibri"/>
          <w:color w:val="333333"/>
          <w:sz w:val="22"/>
          <w:szCs w:val="22"/>
        </w:rPr>
        <w:t>The subject is a juvenile without a convicted disposition.</w:t>
      </w:r>
    </w:p>
    <w:p w:rsidR="0037201D" w:rsidRDefault="0037201D">
      <w:pPr>
        <w:pStyle w:val="Heading3"/>
      </w:pPr>
      <w:bookmarkStart w:id="8" w:name="_Toc254877550"/>
      <w:r>
        <w:t>Correctional Facility Ten-Print Submission (CFR)</w:t>
      </w:r>
      <w:bookmarkEnd w:id="8"/>
      <w:r>
        <w:fldChar w:fldCharType="begin"/>
      </w:r>
      <w:r>
        <w:instrText>tc "3.1.1.2</w:instrText>
      </w:r>
      <w:r>
        <w:tab/>
        <w:instrText>Criminal Ten-Print Submission (No Answer Required) (CNA)" \l 1</w:instrText>
      </w:r>
      <w:r>
        <w:fldChar w:fldCharType="end"/>
      </w:r>
    </w:p>
    <w:p w:rsidR="0037201D" w:rsidRDefault="0037201D">
      <w:pPr>
        <w:pStyle w:val="NoSpacing"/>
        <w:rPr>
          <w:color w:val="333333"/>
        </w:rPr>
      </w:pPr>
      <w:r>
        <w:rPr>
          <w:color w:val="333333"/>
        </w:rPr>
        <w:t>CFR transactions are submitted by correctional reception centers when a subject arrives at the institution.  CFR transactions contain final disposition and confinement information. All CFR transactions must contain a unique ITN generated by the Livescan device – not from an external source such as a booking system. If the Livescan site is setup to receive a response, an SRE or ERR message will be generated when the transaction is completed.</w:t>
      </w:r>
    </w:p>
    <w:p w:rsidR="0037201D" w:rsidRDefault="0037201D">
      <w:pPr>
        <w:pStyle w:val="NoSpacing"/>
        <w:rPr>
          <w:color w:val="333333"/>
        </w:rPr>
      </w:pPr>
      <w:r>
        <w:rPr>
          <w:color w:val="333333"/>
        </w:rPr>
        <w:t>All CFR transactions must contain at least 1 court charge.</w:t>
      </w:r>
    </w:p>
    <w:p w:rsidR="0037201D" w:rsidRDefault="0037201D">
      <w:pPr>
        <w:pStyle w:val="NoSpacing"/>
        <w:rPr>
          <w:color w:val="333333"/>
        </w:rPr>
      </w:pPr>
    </w:p>
    <w:p w:rsidR="0037201D" w:rsidRDefault="0037201D">
      <w:pPr>
        <w:pStyle w:val="NoSpacing"/>
        <w:rPr>
          <w:color w:val="333333"/>
        </w:rPr>
      </w:pPr>
      <w:r>
        <w:rPr>
          <w:color w:val="333333"/>
        </w:rPr>
        <w:t>The types and (occurrences) of logical records included in an electronic correctional facility ten-print submission are as follows:</w:t>
      </w:r>
    </w:p>
    <w:p w:rsidR="0037201D" w:rsidRDefault="0037201D">
      <w:pPr>
        <w:pStyle w:val="NoSpacing"/>
        <w:rPr>
          <w:color w:val="333333"/>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3"/>
        <w:gridCol w:w="6678"/>
      </w:tblGrid>
      <w:tr w:rsidR="0037201D">
        <w:tc>
          <w:tcPr>
            <w:tcW w:w="0" w:type="auto"/>
          </w:tcPr>
          <w:p w:rsidR="0037201D" w:rsidRDefault="0037201D">
            <w:pPr>
              <w:pStyle w:val="NoSpacing"/>
              <w:rPr>
                <w:rFonts w:ascii="Times New Roman" w:hAnsi="Times New Roman"/>
                <w:color w:val="333333"/>
              </w:rPr>
            </w:pPr>
            <w:r>
              <w:rPr>
                <w:color w:val="333333"/>
              </w:rPr>
              <w:t xml:space="preserve">Type-1 (1) </w:t>
            </w:r>
          </w:p>
        </w:tc>
        <w:tc>
          <w:tcPr>
            <w:tcW w:w="0" w:type="auto"/>
          </w:tcPr>
          <w:p w:rsidR="0037201D" w:rsidRDefault="0037201D">
            <w:pPr>
              <w:pStyle w:val="NoSpacing"/>
              <w:rPr>
                <w:rFonts w:ascii="Times New Roman" w:hAnsi="Times New Roman"/>
                <w:color w:val="333333"/>
              </w:rPr>
            </w:pPr>
            <w:r>
              <w:rPr>
                <w:color w:val="333333"/>
              </w:rPr>
              <w:t>Header Record</w:t>
            </w:r>
          </w:p>
        </w:tc>
      </w:tr>
      <w:tr w:rsidR="0037201D">
        <w:tc>
          <w:tcPr>
            <w:tcW w:w="0" w:type="auto"/>
          </w:tcPr>
          <w:p w:rsidR="0037201D" w:rsidRDefault="0037201D">
            <w:pPr>
              <w:pStyle w:val="NoSpacing"/>
              <w:rPr>
                <w:rFonts w:ascii="Times New Roman" w:hAnsi="Times New Roman"/>
                <w:color w:val="333333"/>
              </w:rPr>
            </w:pPr>
            <w:r>
              <w:rPr>
                <w:color w:val="333333"/>
              </w:rPr>
              <w:t>Type-2 (1)</w:t>
            </w:r>
          </w:p>
        </w:tc>
        <w:tc>
          <w:tcPr>
            <w:tcW w:w="0" w:type="auto"/>
          </w:tcPr>
          <w:p w:rsidR="0037201D" w:rsidRDefault="0037201D">
            <w:pPr>
              <w:pStyle w:val="NoSpacing"/>
              <w:rPr>
                <w:rFonts w:ascii="Times New Roman" w:hAnsi="Times New Roman"/>
                <w:color w:val="333333"/>
              </w:rPr>
            </w:pPr>
            <w:r>
              <w:rPr>
                <w:rFonts w:ascii="Times New Roman" w:hAnsi="Times New Roman"/>
                <w:color w:val="333333"/>
              </w:rPr>
              <w:t>C</w:t>
            </w:r>
            <w:r>
              <w:rPr>
                <w:color w:val="333333"/>
              </w:rPr>
              <w:t xml:space="preserve">ontaining SUBJECT-GROUP, COURT-GROUP and CUSTODY-GROUP data </w:t>
            </w:r>
          </w:p>
        </w:tc>
      </w:tr>
      <w:tr w:rsidR="0037201D">
        <w:tc>
          <w:tcPr>
            <w:tcW w:w="0" w:type="auto"/>
          </w:tcPr>
          <w:p w:rsidR="0037201D" w:rsidRDefault="0037201D">
            <w:pPr>
              <w:pStyle w:val="NoSpacing"/>
              <w:rPr>
                <w:rFonts w:ascii="Times New Roman" w:hAnsi="Times New Roman"/>
                <w:color w:val="333333"/>
              </w:rPr>
            </w:pPr>
            <w:r>
              <w:rPr>
                <w:color w:val="333333"/>
              </w:rPr>
              <w:t>Type-4 (14)</w:t>
            </w:r>
          </w:p>
        </w:tc>
        <w:tc>
          <w:tcPr>
            <w:tcW w:w="0" w:type="auto"/>
          </w:tcPr>
          <w:p w:rsidR="0037201D" w:rsidRDefault="0037201D">
            <w:pPr>
              <w:pStyle w:val="NoSpacing"/>
              <w:rPr>
                <w:rFonts w:ascii="Times New Roman" w:hAnsi="Times New Roman"/>
                <w:color w:val="333333"/>
              </w:rPr>
            </w:pPr>
            <w:r>
              <w:rPr>
                <w:color w:val="333333"/>
              </w:rPr>
              <w:t>10 Rolled Impressions and 4 sets of Plain Impressions</w:t>
            </w:r>
          </w:p>
        </w:tc>
      </w:tr>
      <w:tr w:rsidR="0037201D">
        <w:tc>
          <w:tcPr>
            <w:tcW w:w="0" w:type="auto"/>
          </w:tcPr>
          <w:p w:rsidR="0037201D" w:rsidRDefault="0037201D">
            <w:pPr>
              <w:pStyle w:val="NoSpacing"/>
              <w:rPr>
                <w:rFonts w:ascii="Times New Roman" w:hAnsi="Times New Roman"/>
                <w:color w:val="333333"/>
              </w:rPr>
            </w:pPr>
            <w:r>
              <w:rPr>
                <w:color w:val="333333"/>
              </w:rPr>
              <w:t>Type-15 (4)</w:t>
            </w:r>
          </w:p>
        </w:tc>
        <w:tc>
          <w:tcPr>
            <w:tcW w:w="0" w:type="auto"/>
          </w:tcPr>
          <w:p w:rsidR="0037201D" w:rsidRDefault="0037201D">
            <w:pPr>
              <w:pStyle w:val="NoSpacing"/>
              <w:rPr>
                <w:rFonts w:ascii="Times" w:hAnsi="Times"/>
                <w:color w:val="333333"/>
              </w:rPr>
            </w:pPr>
            <w:r>
              <w:rPr>
                <w:color w:val="333333"/>
              </w:rPr>
              <w:t>2 lower palms and 2 writer’s palms (palm prints are optional)</w:t>
            </w:r>
          </w:p>
        </w:tc>
      </w:tr>
    </w:tbl>
    <w:p w:rsidR="0037201D" w:rsidRDefault="0037201D">
      <w:pPr>
        <w:rPr>
          <w:rFonts w:ascii="Cambria" w:hAnsi="Cambria"/>
          <w:b/>
          <w:bCs/>
          <w:color w:val="4F81BD"/>
        </w:rPr>
      </w:pPr>
    </w:p>
    <w:p w:rsidR="0037201D" w:rsidRDefault="0037201D">
      <w:pPr>
        <w:rPr>
          <w:rFonts w:ascii="Cambria" w:hAnsi="Cambria"/>
          <w:b/>
          <w:bCs/>
          <w:color w:val="4F81BD"/>
          <w:sz w:val="26"/>
          <w:szCs w:val="26"/>
        </w:rPr>
      </w:pPr>
      <w:bookmarkStart w:id="9" w:name="_Ref254877082"/>
      <w:bookmarkStart w:id="10" w:name="_Ref254877094"/>
      <w:r>
        <w:br w:type="page"/>
      </w:r>
    </w:p>
    <w:p w:rsidR="0037201D" w:rsidRDefault="0037201D">
      <w:pPr>
        <w:pStyle w:val="Heading2"/>
      </w:pPr>
      <w:bookmarkStart w:id="11" w:name="_Toc254877551"/>
      <w:r>
        <w:t>Responses to Ten-Print Submissions</w:t>
      </w:r>
      <w:bookmarkEnd w:id="9"/>
      <w:bookmarkEnd w:id="10"/>
      <w:bookmarkEnd w:id="11"/>
    </w:p>
    <w:p w:rsidR="0037201D" w:rsidRDefault="0037201D">
      <w:pPr>
        <w:pStyle w:val="NoSpacing"/>
        <w:rPr>
          <w:color w:val="333333"/>
        </w:rPr>
      </w:pPr>
      <w:r>
        <w:rPr>
          <w:color w:val="333333"/>
        </w:rPr>
        <w:t>The Ohio AFIS response to electronic submissions will provide search results or indicate an error via the following TOTs:</w:t>
      </w:r>
    </w:p>
    <w:p w:rsidR="0037201D" w:rsidRDefault="0037201D">
      <w:pPr>
        <w:pStyle w:val="NoSpacing"/>
        <w:rPr>
          <w:color w:val="333333"/>
        </w:rPr>
      </w:pPr>
    </w:p>
    <w:tbl>
      <w:tblPr>
        <w:tblW w:w="0" w:type="auto"/>
        <w:tblInd w:w="2160" w:type="dxa"/>
        <w:tblLook w:val="00A0"/>
      </w:tblPr>
      <w:tblGrid>
        <w:gridCol w:w="583"/>
        <w:gridCol w:w="3015"/>
      </w:tblGrid>
      <w:tr w:rsidR="0037201D">
        <w:tc>
          <w:tcPr>
            <w:tcW w:w="0" w:type="auto"/>
          </w:tcPr>
          <w:p w:rsidR="0037201D" w:rsidRDefault="0037201D">
            <w:pPr>
              <w:spacing w:after="0" w:line="240" w:lineRule="auto"/>
              <w:rPr>
                <w:color w:val="333333"/>
              </w:rPr>
            </w:pPr>
            <w:r>
              <w:rPr>
                <w:b/>
                <w:color w:val="333333"/>
                <w:u w:val="single"/>
              </w:rPr>
              <w:t>TOT</w:t>
            </w:r>
          </w:p>
        </w:tc>
        <w:tc>
          <w:tcPr>
            <w:tcW w:w="0" w:type="auto"/>
          </w:tcPr>
          <w:p w:rsidR="0037201D" w:rsidRDefault="0037201D">
            <w:pPr>
              <w:spacing w:after="0" w:line="240" w:lineRule="auto"/>
              <w:rPr>
                <w:color w:val="333333"/>
              </w:rPr>
            </w:pPr>
            <w:r>
              <w:rPr>
                <w:b/>
                <w:color w:val="333333"/>
                <w:u w:val="single"/>
              </w:rPr>
              <w:t>TRANSACTION</w:t>
            </w:r>
          </w:p>
        </w:tc>
      </w:tr>
      <w:tr w:rsidR="0037201D">
        <w:tc>
          <w:tcPr>
            <w:tcW w:w="0" w:type="auto"/>
          </w:tcPr>
          <w:p w:rsidR="0037201D" w:rsidRDefault="0037201D">
            <w:pPr>
              <w:spacing w:after="0" w:line="240" w:lineRule="auto"/>
              <w:rPr>
                <w:color w:val="333333"/>
              </w:rPr>
            </w:pPr>
            <w:r>
              <w:t>SRE</w:t>
            </w:r>
          </w:p>
        </w:tc>
        <w:tc>
          <w:tcPr>
            <w:tcW w:w="0" w:type="auto"/>
          </w:tcPr>
          <w:p w:rsidR="0037201D" w:rsidRDefault="0037201D">
            <w:pPr>
              <w:spacing w:after="0" w:line="240" w:lineRule="auto"/>
              <w:rPr>
                <w:color w:val="333333"/>
              </w:rPr>
            </w:pPr>
            <w:r>
              <w:t>Submission Results – Electronic</w:t>
            </w:r>
          </w:p>
        </w:tc>
      </w:tr>
      <w:tr w:rsidR="0037201D">
        <w:tc>
          <w:tcPr>
            <w:tcW w:w="0" w:type="auto"/>
          </w:tcPr>
          <w:p w:rsidR="0037201D" w:rsidRDefault="0037201D">
            <w:pPr>
              <w:spacing w:after="0" w:line="240" w:lineRule="auto"/>
              <w:rPr>
                <w:color w:val="333333"/>
              </w:rPr>
            </w:pPr>
            <w:r>
              <w:t>ERR</w:t>
            </w:r>
          </w:p>
        </w:tc>
        <w:tc>
          <w:tcPr>
            <w:tcW w:w="0" w:type="auto"/>
          </w:tcPr>
          <w:p w:rsidR="0037201D" w:rsidRDefault="0037201D">
            <w:pPr>
              <w:pStyle w:val="NoSpacing"/>
            </w:pPr>
            <w:r>
              <w:t>Transaction Error</w:t>
            </w:r>
          </w:p>
        </w:tc>
      </w:tr>
    </w:tbl>
    <w:p w:rsidR="0037201D" w:rsidRDefault="0037201D">
      <w:pPr>
        <w:pStyle w:val="Heading3"/>
      </w:pPr>
      <w:bookmarkStart w:id="12" w:name="_Toc254877552"/>
      <w:r>
        <w:t>Submission Results - Electronic (SRE)</w:t>
      </w:r>
      <w:bookmarkEnd w:id="12"/>
      <w:r>
        <w:fldChar w:fldCharType="begin"/>
      </w:r>
      <w:r>
        <w:instrText>tc "3.1.1.3</w:instrText>
      </w:r>
      <w:r>
        <w:tab/>
        <w:instrText>Submission Results - Electronic (SRE)" \l 1</w:instrText>
      </w:r>
      <w:r>
        <w:fldChar w:fldCharType="end"/>
      </w:r>
    </w:p>
    <w:p w:rsidR="0037201D" w:rsidRDefault="0037201D">
      <w:pPr>
        <w:pStyle w:val="NoSpacing"/>
        <w:rPr>
          <w:color w:val="333333"/>
        </w:rPr>
      </w:pPr>
      <w:r>
        <w:rPr>
          <w:color w:val="333333"/>
        </w:rPr>
        <w:t>This transaction is returned by the Ohio AFIS in response to (CAR, JLR, CFR) ten-print submissions.  It includes an Ident or a Non-Ident decision and the State identification number (SID) of the subject.  If the subject is not identified, a new SID will be assigned and reported back to the contributor.</w:t>
      </w:r>
    </w:p>
    <w:p w:rsidR="0037201D" w:rsidRDefault="0037201D">
      <w:pPr>
        <w:pStyle w:val="NoSpacing"/>
        <w:rPr>
          <w:color w:val="333333"/>
        </w:rPr>
      </w:pPr>
    </w:p>
    <w:p w:rsidR="0037201D" w:rsidRDefault="0037201D">
      <w:pPr>
        <w:pStyle w:val="NoSpacing"/>
        <w:rPr>
          <w:color w:val="333333"/>
        </w:rPr>
      </w:pPr>
      <w:r>
        <w:rPr>
          <w:color w:val="333333"/>
        </w:rPr>
        <w:t>In response to an electronic ten-print submission, the following logical records will be returned as an SRE message:</w:t>
      </w:r>
    </w:p>
    <w:p w:rsidR="0037201D" w:rsidRDefault="0037201D">
      <w:pPr>
        <w:pStyle w:val="NoSpacing"/>
        <w:rPr>
          <w:color w:val="333333"/>
        </w:rPr>
      </w:pPr>
    </w:p>
    <w:tbl>
      <w:tblPr>
        <w:tblW w:w="8827"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5"/>
        <w:gridCol w:w="7322"/>
      </w:tblGrid>
      <w:tr w:rsidR="0037201D">
        <w:tc>
          <w:tcPr>
            <w:tcW w:w="0" w:type="auto"/>
          </w:tcPr>
          <w:p w:rsidR="0037201D" w:rsidRDefault="0037201D">
            <w:pPr>
              <w:spacing w:after="0" w:line="240" w:lineRule="auto"/>
              <w:rPr>
                <w:color w:val="333333"/>
              </w:rPr>
            </w:pPr>
            <w:r>
              <w:rPr>
                <w:color w:val="333333"/>
              </w:rPr>
              <w:t xml:space="preserve">Type-1 (1) </w:t>
            </w:r>
          </w:p>
        </w:tc>
        <w:tc>
          <w:tcPr>
            <w:tcW w:w="0" w:type="auto"/>
          </w:tcPr>
          <w:p w:rsidR="0037201D" w:rsidRDefault="0037201D">
            <w:pPr>
              <w:spacing w:after="0" w:line="240" w:lineRule="auto"/>
              <w:rPr>
                <w:color w:val="333333"/>
              </w:rPr>
            </w:pPr>
            <w:r>
              <w:rPr>
                <w:color w:val="333333"/>
              </w:rPr>
              <w:t>Header Record</w:t>
            </w:r>
          </w:p>
        </w:tc>
      </w:tr>
      <w:tr w:rsidR="0037201D">
        <w:tc>
          <w:tcPr>
            <w:tcW w:w="0" w:type="auto"/>
          </w:tcPr>
          <w:p w:rsidR="0037201D" w:rsidRDefault="0037201D">
            <w:pPr>
              <w:spacing w:after="0" w:line="240" w:lineRule="auto"/>
              <w:rPr>
                <w:color w:val="333333"/>
              </w:rPr>
            </w:pPr>
            <w:r>
              <w:rPr>
                <w:color w:val="333333"/>
              </w:rPr>
              <w:t>Type-2 SRE (1)</w:t>
            </w:r>
          </w:p>
        </w:tc>
        <w:tc>
          <w:tcPr>
            <w:tcW w:w="0" w:type="auto"/>
          </w:tcPr>
          <w:p w:rsidR="0037201D" w:rsidRDefault="0037201D">
            <w:pPr>
              <w:spacing w:after="0" w:line="240" w:lineRule="auto"/>
              <w:rPr>
                <w:color w:val="333333"/>
              </w:rPr>
            </w:pPr>
            <w:r>
              <w:rPr>
                <w:color w:val="333333"/>
              </w:rPr>
              <w:t>Record containing an Ident or Non-Ident Response, name, and State ID number</w:t>
            </w:r>
          </w:p>
        </w:tc>
      </w:tr>
    </w:tbl>
    <w:p w:rsidR="0037201D" w:rsidRDefault="0037201D">
      <w:pPr>
        <w:pStyle w:val="Heading3"/>
      </w:pPr>
      <w:bookmarkStart w:id="13" w:name="_Toc254877553"/>
      <w:r>
        <w:t>Transaction Error (ERR)</w:t>
      </w:r>
      <w:bookmarkEnd w:id="13"/>
      <w:r>
        <w:fldChar w:fldCharType="begin"/>
      </w:r>
      <w:r>
        <w:instrText>tc "3.1.1.4</w:instrText>
      </w:r>
      <w:r>
        <w:tab/>
        <w:instrText>Transaction Error (ERR)" \l 1</w:instrText>
      </w:r>
      <w:r>
        <w:fldChar w:fldCharType="end"/>
      </w:r>
    </w:p>
    <w:p w:rsidR="0037201D" w:rsidRDefault="0037201D">
      <w:pPr>
        <w:pStyle w:val="BodyText"/>
        <w:rPr>
          <w:b/>
          <w:color w:val="333333"/>
        </w:rPr>
      </w:pPr>
      <w:r>
        <w:rPr>
          <w:color w:val="333333"/>
        </w:rPr>
        <w:t xml:space="preserve">This transaction is returned by the Ohio AFIS to indicate a transaction error. When a transaction is rejected because data field(s) failed editing criteria or because the fingerprint images are of poor quality, a Transaction Error (ERR) response will be transmitted back to the submitting agency.  </w:t>
      </w:r>
      <w:r>
        <w:rPr>
          <w:b/>
          <w:color w:val="333333"/>
        </w:rPr>
        <w:t>Each reason(s) for rejection will be detailed in the Status/Message (MSG) field.</w:t>
      </w:r>
    </w:p>
    <w:p w:rsidR="0037201D" w:rsidRDefault="0037201D">
      <w:pPr>
        <w:pStyle w:val="BodyText"/>
        <w:rPr>
          <w:color w:val="333333"/>
        </w:rPr>
      </w:pPr>
      <w:r>
        <w:rPr>
          <w:color w:val="333333"/>
        </w:rPr>
        <w:t>In response to an electronic ten-print submission, the following logical records will be returned as an ERR message: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18"/>
        <w:gridCol w:w="3947"/>
      </w:tblGrid>
      <w:tr w:rsidR="0037201D">
        <w:tc>
          <w:tcPr>
            <w:tcW w:w="0" w:type="auto"/>
          </w:tcPr>
          <w:p w:rsidR="0037201D" w:rsidRDefault="0037201D">
            <w:pPr>
              <w:spacing w:after="0" w:line="240" w:lineRule="auto"/>
              <w:rPr>
                <w:color w:val="333333"/>
              </w:rPr>
            </w:pPr>
            <w:r>
              <w:rPr>
                <w:color w:val="333333"/>
              </w:rPr>
              <w:t xml:space="preserve">Type-1 (1) </w:t>
            </w:r>
          </w:p>
        </w:tc>
        <w:tc>
          <w:tcPr>
            <w:tcW w:w="0" w:type="auto"/>
          </w:tcPr>
          <w:p w:rsidR="0037201D" w:rsidRDefault="0037201D">
            <w:pPr>
              <w:spacing w:after="0" w:line="240" w:lineRule="auto"/>
              <w:rPr>
                <w:color w:val="333333"/>
              </w:rPr>
            </w:pPr>
            <w:r>
              <w:rPr>
                <w:color w:val="333333"/>
              </w:rPr>
              <w:t>Header Record</w:t>
            </w:r>
          </w:p>
        </w:tc>
      </w:tr>
      <w:tr w:rsidR="0037201D">
        <w:tc>
          <w:tcPr>
            <w:tcW w:w="0" w:type="auto"/>
          </w:tcPr>
          <w:p w:rsidR="0037201D" w:rsidRDefault="0037201D">
            <w:pPr>
              <w:spacing w:after="0" w:line="240" w:lineRule="auto"/>
              <w:rPr>
                <w:color w:val="333333"/>
              </w:rPr>
            </w:pPr>
            <w:r>
              <w:rPr>
                <w:color w:val="333333"/>
              </w:rPr>
              <w:t>Type-2 ERR (1)</w:t>
            </w:r>
          </w:p>
        </w:tc>
        <w:tc>
          <w:tcPr>
            <w:tcW w:w="0" w:type="auto"/>
          </w:tcPr>
          <w:p w:rsidR="0037201D" w:rsidRDefault="0037201D">
            <w:pPr>
              <w:spacing w:after="0" w:line="240" w:lineRule="auto"/>
              <w:rPr>
                <w:color w:val="333333"/>
              </w:rPr>
            </w:pPr>
            <w:r>
              <w:rPr>
                <w:color w:val="333333"/>
              </w:rPr>
              <w:t>Record containing a status/error message</w:t>
            </w:r>
          </w:p>
        </w:tc>
      </w:tr>
    </w:tbl>
    <w:p w:rsidR="0037201D" w:rsidRDefault="0037201D">
      <w:pPr>
        <w:pStyle w:val="Heading1"/>
      </w:pPr>
      <w:bookmarkStart w:id="14" w:name="_Toc254877554"/>
      <w:r>
        <w:t>Certification, Setup and Testing</w:t>
      </w:r>
      <w:bookmarkEnd w:id="14"/>
    </w:p>
    <w:p w:rsidR="0037201D" w:rsidRDefault="0037201D">
      <w:pPr>
        <w:pStyle w:val="Heading2"/>
      </w:pPr>
      <w:bookmarkStart w:id="15" w:name="_Toc254877555"/>
      <w:r>
        <w:t>Vendor Certification</w:t>
      </w:r>
      <w:bookmarkEnd w:id="15"/>
    </w:p>
    <w:p w:rsidR="0037201D" w:rsidRDefault="0037201D">
      <w:pPr>
        <w:pStyle w:val="ListContinue"/>
        <w:ind w:left="0"/>
        <w:rPr>
          <w:rFonts w:ascii="Calibri" w:hAnsi="Calibri"/>
          <w:b/>
          <w:sz w:val="22"/>
          <w:szCs w:val="22"/>
        </w:rPr>
      </w:pPr>
      <w:r>
        <w:rPr>
          <w:rFonts w:ascii="Calibri" w:hAnsi="Calibri"/>
          <w:b/>
          <w:sz w:val="22"/>
          <w:szCs w:val="22"/>
        </w:rPr>
        <w:t>Vendors must be certified by BCI&amp;I before installing their Livescan devices in Ohio. Livescans can only transmit the transaction types for which they have been approved.</w:t>
      </w:r>
    </w:p>
    <w:p w:rsidR="0037201D" w:rsidRDefault="0037201D">
      <w:pPr>
        <w:pStyle w:val="ListContinue"/>
        <w:ind w:left="0"/>
        <w:rPr>
          <w:rFonts w:ascii="Calibri" w:hAnsi="Calibri"/>
          <w:color w:val="333333"/>
          <w:sz w:val="22"/>
          <w:szCs w:val="22"/>
        </w:rPr>
      </w:pPr>
      <w:r>
        <w:rPr>
          <w:rFonts w:ascii="Calibri" w:hAnsi="Calibri"/>
          <w:color w:val="333333"/>
          <w:sz w:val="22"/>
          <w:szCs w:val="22"/>
        </w:rPr>
        <w:t>Vendors may be required by BCI&amp;I to recertify their software every two years.</w:t>
      </w:r>
    </w:p>
    <w:p w:rsidR="0037201D" w:rsidRDefault="0037201D">
      <w:pPr>
        <w:pStyle w:val="ListContinue"/>
        <w:ind w:left="0"/>
        <w:rPr>
          <w:rFonts w:ascii="Calibri" w:hAnsi="Calibri"/>
          <w:color w:val="333333"/>
          <w:sz w:val="22"/>
          <w:szCs w:val="22"/>
        </w:rPr>
      </w:pPr>
      <w:r>
        <w:rPr>
          <w:rFonts w:ascii="Calibri" w:hAnsi="Calibri"/>
          <w:color w:val="333333"/>
          <w:sz w:val="22"/>
          <w:szCs w:val="22"/>
        </w:rPr>
        <w:t>To become certified, vendors must setup a Livescan device at BCI&amp;I and prove that their product conforms to the latest Livescan Specifications. They will be expected to enter test records designed by BCI&amp;I, transmit them to BCI&amp;I, and receive ERR and SRE responses. Their software must edit demographic data and capture acceptable fingerprint images.</w:t>
      </w:r>
    </w:p>
    <w:p w:rsidR="0037201D" w:rsidRDefault="0037201D">
      <w:pPr>
        <w:pStyle w:val="Heading2"/>
      </w:pPr>
      <w:bookmarkStart w:id="16" w:name="_Toc254877556"/>
      <w:r>
        <w:t>Setting Up a New Livescan Site</w:t>
      </w:r>
      <w:bookmarkEnd w:id="16"/>
    </w:p>
    <w:p w:rsidR="0037201D" w:rsidRDefault="0037201D">
      <w:pPr>
        <w:pStyle w:val="ListContinue"/>
        <w:ind w:left="0"/>
        <w:rPr>
          <w:rFonts w:ascii="Calibri" w:hAnsi="Calibri"/>
          <w:color w:val="333333"/>
          <w:sz w:val="22"/>
          <w:szCs w:val="22"/>
        </w:rPr>
      </w:pPr>
      <w:r>
        <w:rPr>
          <w:rFonts w:ascii="Calibri" w:hAnsi="Calibri"/>
          <w:color w:val="333333"/>
          <w:sz w:val="22"/>
          <w:szCs w:val="22"/>
        </w:rPr>
        <w:t xml:space="preserve">The Agency where the Livescan is being installed must: </w:t>
      </w:r>
    </w:p>
    <w:p w:rsidR="0037201D" w:rsidRDefault="0037201D">
      <w:pPr>
        <w:pStyle w:val="ListContinue"/>
        <w:numPr>
          <w:ilvl w:val="0"/>
          <w:numId w:val="15"/>
        </w:numPr>
        <w:rPr>
          <w:rFonts w:ascii="Calibri" w:hAnsi="Calibri"/>
          <w:color w:val="333333"/>
          <w:sz w:val="22"/>
          <w:szCs w:val="22"/>
        </w:rPr>
      </w:pPr>
      <w:r>
        <w:rPr>
          <w:rFonts w:ascii="Calibri" w:hAnsi="Calibri"/>
          <w:color w:val="333333"/>
          <w:sz w:val="22"/>
          <w:szCs w:val="22"/>
        </w:rPr>
        <w:t>Contact OAG Tech Support (</w:t>
      </w:r>
      <w:hyperlink r:id="rId9" w:history="1">
        <w:r>
          <w:rPr>
            <w:rStyle w:val="Hyperlink"/>
            <w:rFonts w:ascii="Calibri" w:hAnsi="Calibri"/>
            <w:sz w:val="22"/>
            <w:szCs w:val="22"/>
          </w:rPr>
          <w:t>TechSupport@OhioAttorneyGeneral.gov</w:t>
        </w:r>
      </w:hyperlink>
      <w:r>
        <w:rPr>
          <w:rFonts w:ascii="Calibri" w:hAnsi="Calibri"/>
          <w:color w:val="333333"/>
          <w:sz w:val="22"/>
          <w:szCs w:val="22"/>
        </w:rPr>
        <w:t>) to obtain:</w:t>
      </w:r>
    </w:p>
    <w:p w:rsidR="0037201D" w:rsidRDefault="0037201D">
      <w:pPr>
        <w:pStyle w:val="ListContinue"/>
        <w:numPr>
          <w:ilvl w:val="1"/>
          <w:numId w:val="15"/>
        </w:numPr>
        <w:rPr>
          <w:rFonts w:ascii="Calibri" w:hAnsi="Calibri"/>
          <w:color w:val="333333"/>
          <w:sz w:val="22"/>
          <w:szCs w:val="22"/>
        </w:rPr>
      </w:pPr>
      <w:r>
        <w:rPr>
          <w:rFonts w:ascii="Calibri" w:hAnsi="Calibri"/>
          <w:color w:val="333333"/>
          <w:sz w:val="22"/>
          <w:szCs w:val="22"/>
        </w:rPr>
        <w:t>A block of ITN’s.</w:t>
      </w:r>
    </w:p>
    <w:p w:rsidR="0037201D" w:rsidRDefault="0037201D">
      <w:pPr>
        <w:pStyle w:val="ListContinue"/>
        <w:numPr>
          <w:ilvl w:val="1"/>
          <w:numId w:val="15"/>
        </w:numPr>
        <w:rPr>
          <w:rFonts w:ascii="Calibri" w:hAnsi="Calibri"/>
          <w:color w:val="333333"/>
          <w:sz w:val="22"/>
          <w:szCs w:val="22"/>
        </w:rPr>
      </w:pPr>
      <w:r>
        <w:rPr>
          <w:rFonts w:ascii="Calibri" w:hAnsi="Calibri"/>
          <w:color w:val="333333"/>
          <w:sz w:val="22"/>
          <w:szCs w:val="22"/>
        </w:rPr>
        <w:t xml:space="preserve">The latest version of the ORC-LTR table.  </w:t>
      </w:r>
    </w:p>
    <w:p w:rsidR="0037201D" w:rsidRDefault="0037201D">
      <w:pPr>
        <w:pStyle w:val="ListContinue"/>
        <w:numPr>
          <w:ilvl w:val="1"/>
          <w:numId w:val="15"/>
        </w:numPr>
        <w:rPr>
          <w:rFonts w:ascii="Calibri" w:hAnsi="Calibri"/>
          <w:color w:val="333333"/>
          <w:sz w:val="22"/>
          <w:szCs w:val="22"/>
        </w:rPr>
      </w:pPr>
      <w:r>
        <w:rPr>
          <w:rFonts w:ascii="Calibri" w:hAnsi="Calibri"/>
          <w:color w:val="333333"/>
          <w:sz w:val="22"/>
          <w:szCs w:val="22"/>
        </w:rPr>
        <w:t>Send Configuration for NIST &amp; SIG files.  This includes a connection address for the OAG STFP server and a set of credentials.  Each Livescan device will be issued its own set of credentials.  Each device will use its OAG-assigned credentials to send transactions directly to a drop location on the OAG FTPS server.</w:t>
      </w:r>
    </w:p>
    <w:p w:rsidR="0037201D" w:rsidRDefault="0037201D">
      <w:pPr>
        <w:pStyle w:val="ListContinue"/>
        <w:numPr>
          <w:ilvl w:val="1"/>
          <w:numId w:val="15"/>
        </w:numPr>
        <w:rPr>
          <w:rFonts w:ascii="Calibri" w:hAnsi="Calibri"/>
          <w:color w:val="333333"/>
          <w:sz w:val="22"/>
          <w:szCs w:val="22"/>
        </w:rPr>
      </w:pPr>
      <w:r>
        <w:rPr>
          <w:rFonts w:ascii="Calibri" w:hAnsi="Calibri"/>
          <w:color w:val="333333"/>
          <w:sz w:val="22"/>
          <w:szCs w:val="22"/>
        </w:rPr>
        <w:t>Response Configuration for SRE &amp; ERR return messages.  This is a vendor provided e-mail address.  An OAG mail server will send an e-mail message to an e-mail address provided by the vendor.</w:t>
      </w:r>
    </w:p>
    <w:p w:rsidR="0037201D" w:rsidRDefault="0037201D">
      <w:pPr>
        <w:pStyle w:val="ListContinue"/>
        <w:numPr>
          <w:ilvl w:val="0"/>
          <w:numId w:val="15"/>
        </w:numPr>
        <w:rPr>
          <w:rFonts w:ascii="Calibri" w:hAnsi="Calibri"/>
          <w:color w:val="333333"/>
          <w:sz w:val="22"/>
          <w:szCs w:val="22"/>
        </w:rPr>
      </w:pPr>
      <w:r>
        <w:rPr>
          <w:rFonts w:ascii="Calibri" w:hAnsi="Calibri"/>
          <w:color w:val="333333"/>
          <w:sz w:val="22"/>
          <w:szCs w:val="22"/>
        </w:rPr>
        <w:t xml:space="preserve">Perform test procedure described in Section </w:t>
      </w:r>
      <w:fldSimple w:instr=" REF _Ref254706610 \w \h  \* MERGEFORMAT ">
        <w:r>
          <w:rPr>
            <w:rFonts w:ascii="Calibri" w:hAnsi="Calibri"/>
            <w:i/>
            <w:color w:val="333333"/>
            <w:sz w:val="22"/>
            <w:szCs w:val="22"/>
          </w:rPr>
          <w:t>3.3</w:t>
        </w:r>
      </w:fldSimple>
      <w:r>
        <w:rPr>
          <w:rFonts w:ascii="Calibri" w:hAnsi="Calibri"/>
          <w:i/>
          <w:color w:val="333333"/>
          <w:sz w:val="22"/>
          <w:szCs w:val="22"/>
        </w:rPr>
        <w:t xml:space="preserve"> </w:t>
      </w:r>
      <w:fldSimple w:instr=" REF _Ref254706616 \h  \* MERGEFORMAT ">
        <w:r>
          <w:rPr>
            <w:rFonts w:ascii="Calibri" w:hAnsi="Calibri"/>
            <w:i/>
            <w:sz w:val="22"/>
            <w:szCs w:val="22"/>
          </w:rPr>
          <w:t>Test Procedure required for each new installation</w:t>
        </w:r>
      </w:fldSimple>
      <w:r>
        <w:rPr>
          <w:rFonts w:ascii="Calibri" w:hAnsi="Calibri"/>
          <w:color w:val="333333"/>
          <w:sz w:val="22"/>
          <w:szCs w:val="22"/>
        </w:rPr>
        <w:t>.</w:t>
      </w:r>
    </w:p>
    <w:p w:rsidR="0037201D" w:rsidRDefault="0037201D">
      <w:pPr>
        <w:pStyle w:val="ListContinue"/>
        <w:ind w:left="0"/>
        <w:rPr>
          <w:rFonts w:ascii="Calibri" w:hAnsi="Calibri"/>
          <w:b/>
          <w:color w:val="FF0000"/>
          <w:sz w:val="22"/>
          <w:szCs w:val="22"/>
        </w:rPr>
      </w:pPr>
      <w:r>
        <w:rPr>
          <w:rFonts w:ascii="Calibri" w:hAnsi="Calibri"/>
          <w:b/>
          <w:color w:val="FF0000"/>
          <w:sz w:val="22"/>
          <w:szCs w:val="22"/>
        </w:rPr>
        <w:t>BCI may disconnect a Livescan site at any time if it sends transactions that do not comply with the specifications. The Livescan Agency will be informed before the site is disconnected.</w:t>
      </w:r>
    </w:p>
    <w:p w:rsidR="0037201D" w:rsidRDefault="0037201D">
      <w:pPr>
        <w:pStyle w:val="Heading2"/>
      </w:pPr>
      <w:bookmarkStart w:id="17" w:name="_Ref254706502"/>
      <w:bookmarkStart w:id="18" w:name="_Ref254706515"/>
      <w:bookmarkStart w:id="19" w:name="_Ref254706549"/>
      <w:bookmarkStart w:id="20" w:name="_Ref254706610"/>
      <w:bookmarkStart w:id="21" w:name="_Ref254706616"/>
      <w:bookmarkStart w:id="22" w:name="_Toc254877557"/>
      <w:r>
        <w:t>Test Procedure required for each new installation</w:t>
      </w:r>
      <w:bookmarkEnd w:id="17"/>
      <w:bookmarkEnd w:id="18"/>
      <w:bookmarkEnd w:id="19"/>
      <w:bookmarkEnd w:id="20"/>
      <w:bookmarkEnd w:id="21"/>
      <w:bookmarkEnd w:id="22"/>
      <w:r>
        <w:fldChar w:fldCharType="begin"/>
      </w:r>
      <w:r>
        <w:instrText>tc "3.1.2.1</w:instrText>
      </w:r>
      <w:r>
        <w:tab/>
        <w:instrText>Ten-print Submissions (CAR and CNA)" \l 1</w:instrText>
      </w:r>
      <w:r>
        <w:fldChar w:fldCharType="end"/>
      </w:r>
    </w:p>
    <w:p w:rsidR="0037201D" w:rsidRDefault="0037201D">
      <w:pPr>
        <w:pStyle w:val="ListContinue"/>
        <w:ind w:left="0"/>
        <w:rPr>
          <w:rFonts w:ascii="Calibri" w:hAnsi="Calibri"/>
          <w:color w:val="333333"/>
          <w:sz w:val="22"/>
          <w:szCs w:val="22"/>
        </w:rPr>
      </w:pPr>
      <w:r>
        <w:rPr>
          <w:rFonts w:ascii="Calibri" w:hAnsi="Calibri"/>
          <w:color w:val="333333"/>
          <w:sz w:val="22"/>
          <w:szCs w:val="22"/>
        </w:rPr>
        <w:t>The Livescan agency must contact BCI&amp;I before sending any test records.</w:t>
      </w:r>
    </w:p>
    <w:p w:rsidR="0037201D" w:rsidRDefault="0037201D">
      <w:pPr>
        <w:pStyle w:val="ListContinue"/>
        <w:ind w:left="0"/>
        <w:rPr>
          <w:rFonts w:ascii="Calibri" w:hAnsi="Calibri"/>
          <w:b/>
          <w:color w:val="FF0000"/>
          <w:sz w:val="22"/>
          <w:szCs w:val="22"/>
        </w:rPr>
      </w:pPr>
      <w:r>
        <w:rPr>
          <w:rFonts w:ascii="Calibri" w:hAnsi="Calibri"/>
          <w:b/>
          <w:color w:val="FF0000"/>
          <w:sz w:val="22"/>
          <w:szCs w:val="22"/>
        </w:rPr>
        <w:t>When testing CAR or JLR transactions, send 3 adult test records and 3 juvenile test records described in Appendix A.</w:t>
      </w:r>
    </w:p>
    <w:p w:rsidR="0037201D" w:rsidRDefault="0037201D">
      <w:pPr>
        <w:pStyle w:val="ListContinue"/>
        <w:ind w:left="0"/>
        <w:rPr>
          <w:rFonts w:ascii="Calibri" w:hAnsi="Calibri"/>
          <w:b/>
          <w:color w:val="FF0000"/>
          <w:sz w:val="22"/>
          <w:szCs w:val="22"/>
        </w:rPr>
      </w:pPr>
      <w:r>
        <w:rPr>
          <w:rFonts w:ascii="Calibri" w:hAnsi="Calibri"/>
          <w:b/>
          <w:color w:val="FF0000"/>
          <w:sz w:val="22"/>
          <w:szCs w:val="22"/>
        </w:rPr>
        <w:t>When testing CFR transactions, send 2 adult test records and 1 juvenile test records described in Appendix A.</w:t>
      </w:r>
    </w:p>
    <w:p w:rsidR="0037201D" w:rsidRDefault="0037201D">
      <w:pPr>
        <w:pStyle w:val="ListContinue"/>
        <w:ind w:left="0"/>
        <w:rPr>
          <w:color w:val="333333"/>
          <w:sz w:val="22"/>
          <w:szCs w:val="22"/>
        </w:rPr>
      </w:pPr>
      <w:r>
        <w:rPr>
          <w:rFonts w:ascii="Calibri" w:hAnsi="Calibri"/>
          <w:color w:val="333333"/>
          <w:sz w:val="22"/>
          <w:szCs w:val="22"/>
        </w:rPr>
        <w:t>Test records will be manually placed into the Ohio AFIS Workflow, where the fingerprint images and data will be examined.  The records will be rejected, creating ERR responses, and these responses must reach the Livescan</w:t>
      </w:r>
      <w:r>
        <w:rPr>
          <w:color w:val="333333"/>
          <w:sz w:val="22"/>
          <w:szCs w:val="22"/>
        </w:rPr>
        <w:t>.</w:t>
      </w:r>
    </w:p>
    <w:p w:rsidR="0037201D" w:rsidRDefault="0037201D">
      <w:pPr>
        <w:pStyle w:val="Heading1"/>
      </w:pPr>
      <w:bookmarkStart w:id="23" w:name="_Toc254877558"/>
      <w:bookmarkStart w:id="24" w:name="_Ref216090637"/>
      <w:bookmarkStart w:id="25" w:name="_Ref216090671"/>
      <w:bookmarkStart w:id="26" w:name="_Ref220750430"/>
      <w:bookmarkStart w:id="27" w:name="_Ref220750448"/>
      <w:bookmarkStart w:id="28" w:name="_Toc224986424"/>
      <w:r>
        <w:t>Additional Requirements</w:t>
      </w:r>
      <w:bookmarkEnd w:id="23"/>
    </w:p>
    <w:p w:rsidR="0037201D" w:rsidRDefault="0037201D">
      <w:pPr>
        <w:pStyle w:val="Heading2"/>
      </w:pPr>
      <w:bookmarkStart w:id="29" w:name="_Toc254877559"/>
      <w:r>
        <w:t>Electronic Fingerprint Images</w:t>
      </w:r>
      <w:bookmarkEnd w:id="29"/>
      <w:r>
        <w:fldChar w:fldCharType="begin"/>
      </w:r>
      <w:r>
        <w:instrText>tc "3.3.1</w:instrText>
      </w:r>
      <w:r>
        <w:tab/>
        <w:instrText>ELECTRONIC FINGERPRINT IMAGES" \l 1</w:instrText>
      </w:r>
      <w:r>
        <w:fldChar w:fldCharType="end"/>
      </w:r>
    </w:p>
    <w:p w:rsidR="0037201D" w:rsidRDefault="0037201D">
      <w:pPr>
        <w:pStyle w:val="BodyText"/>
        <w:rPr>
          <w:color w:val="333333"/>
        </w:rPr>
      </w:pPr>
      <w:r>
        <w:rPr>
          <w:color w:val="333333"/>
        </w:rPr>
        <w:t xml:space="preserve">Electronic fingerprint images shall be captured and transmitted to the Ohio AFIS in accordance with the standard for the electronic interchange of fingerprint information, </w:t>
      </w:r>
      <w:r>
        <w:rPr>
          <w:i/>
          <w:color w:val="333333"/>
        </w:rPr>
        <w:t>Data Format for the Interchange of Fingerprint Information,</w:t>
      </w:r>
      <w:r>
        <w:rPr>
          <w:color w:val="333333"/>
        </w:rPr>
        <w:t xml:space="preserve"> for the Type-4 record.  In addition, the transmitting resolution must be 500 pixels per inch and the sizes of the transmitted images are as follows:</w:t>
      </w:r>
    </w:p>
    <w:p w:rsidR="0037201D" w:rsidRDefault="0037201D">
      <w:pPr>
        <w:pStyle w:val="List2"/>
        <w:numPr>
          <w:ilvl w:val="0"/>
          <w:numId w:val="18"/>
        </w:numPr>
        <w:rPr>
          <w:color w:val="333333"/>
        </w:rPr>
      </w:pPr>
      <w:r>
        <w:rPr>
          <w:color w:val="333333"/>
        </w:rPr>
        <w:t>Ten individual rolled impression images shall each be 1.6 inches wide and 1.5 inches high.  In record type 4, the Horizontal Line Length (HLL) shall be 0320(hex), which is 800 pixels and the Vertical Line Length (VLL) shall be 02EE (hex), which is 750 pixels.</w:t>
      </w:r>
    </w:p>
    <w:p w:rsidR="0037201D" w:rsidRDefault="0037201D">
      <w:pPr>
        <w:pStyle w:val="List2"/>
        <w:numPr>
          <w:ilvl w:val="0"/>
          <w:numId w:val="18"/>
        </w:numPr>
        <w:rPr>
          <w:color w:val="333333"/>
        </w:rPr>
      </w:pPr>
      <w:r>
        <w:rPr>
          <w:color w:val="333333"/>
        </w:rPr>
        <w:t>Two individual plain impression thumb images shall each be 0.77 inches wide and 2 inches high. In record type 4, the Horizontal Line Length (HLL) shall be 0181(hex), which is 385 pixels and the Vertical Line Length (VLL) shall be 03E8 (hex), which is 1000 pixels.</w:t>
      </w:r>
    </w:p>
    <w:p w:rsidR="0037201D" w:rsidRDefault="0037201D">
      <w:pPr>
        <w:pStyle w:val="List2"/>
        <w:numPr>
          <w:ilvl w:val="0"/>
          <w:numId w:val="18"/>
        </w:numPr>
        <w:rPr>
          <w:color w:val="333333"/>
        </w:rPr>
      </w:pPr>
      <w:r>
        <w:rPr>
          <w:color w:val="333333"/>
        </w:rPr>
        <w:t>Two plain impression four finger block images shall each be 3 inches wide and 2 inches high. In record type 4, the Horizontal Line Length (HLL) shall be 05DC (hex), which is 1500 pixels and the Vertical Line Length (VLL) shall be 03E8 (hex), which is 1000 pixels.</w:t>
      </w:r>
    </w:p>
    <w:p w:rsidR="0037201D" w:rsidRDefault="0037201D">
      <w:pPr>
        <w:pStyle w:val="BodyText"/>
        <w:rPr>
          <w:color w:val="333333"/>
        </w:rPr>
      </w:pPr>
      <w:r>
        <w:rPr>
          <w:color w:val="333333"/>
        </w:rPr>
        <w:t>The fingerprint images captured by the Livescan device shall not be cropped, prior to transmission to the Ohio AFIS, unless the original images exceed the dimensions stated above.  If the original images exceed the dimensions stated above, then they shall be cropped no smaller than the dimensions stated above.</w:t>
      </w:r>
    </w:p>
    <w:p w:rsidR="0037201D" w:rsidRDefault="0037201D">
      <w:pPr>
        <w:pStyle w:val="Heading2"/>
      </w:pPr>
      <w:bookmarkStart w:id="30" w:name="_Toc254877560"/>
      <w:r>
        <w:t>Fingerprint Image Compression / Decompression Algorithm</w:t>
      </w:r>
      <w:bookmarkEnd w:id="30"/>
      <w:r>
        <w:fldChar w:fldCharType="begin"/>
      </w:r>
      <w:r>
        <w:instrText>tc "3.3.2</w:instrText>
      </w:r>
      <w:r>
        <w:tab/>
        <w:instrText>FINGERPRINT IMAGE COMPRESSION / DECOMPRESSION ALGORITHM" \l 1</w:instrText>
      </w:r>
      <w:r>
        <w:fldChar w:fldCharType="end"/>
      </w:r>
    </w:p>
    <w:p w:rsidR="0037201D" w:rsidRDefault="0037201D">
      <w:pPr>
        <w:pStyle w:val="BodyText"/>
        <w:rPr>
          <w:color w:val="333333"/>
        </w:rPr>
      </w:pPr>
      <w:bookmarkStart w:id="31" w:name="OLE_LINK5"/>
      <w:bookmarkStart w:id="32" w:name="OLE_LINK6"/>
      <w:r>
        <w:rPr>
          <w:color w:val="333333"/>
        </w:rPr>
        <w:t xml:space="preserve">Images submitted to the Ohio AFIS shall be compressed using the WSQ algorithms at a specified ratio of no greater than 15:1.  </w:t>
      </w:r>
      <w:bookmarkEnd w:id="31"/>
      <w:bookmarkEnd w:id="32"/>
      <w:r>
        <w:rPr>
          <w:color w:val="333333"/>
        </w:rPr>
        <w:t>However, the effective compression ratio may be greater due to the amount of white space in the image.</w:t>
      </w:r>
    </w:p>
    <w:p w:rsidR="0037201D" w:rsidRDefault="0037201D">
      <w:pPr>
        <w:pStyle w:val="BodyText"/>
        <w:rPr>
          <w:color w:val="333333"/>
        </w:rPr>
      </w:pPr>
      <w:r>
        <w:rPr>
          <w:color w:val="333333"/>
        </w:rPr>
        <w:t xml:space="preserve">The </w:t>
      </w:r>
      <w:r>
        <w:rPr>
          <w:i/>
          <w:color w:val="333333"/>
        </w:rPr>
        <w:t>WSQ Gray-Scale Fingerprint Image Compression Specification</w:t>
      </w:r>
      <w:r>
        <w:rPr>
          <w:color w:val="333333"/>
        </w:rPr>
        <w:t xml:space="preserve"> provides the definitions, requirements, and guidelines for specifying the FBI’s WSQ compression algorithm.  The document specifies the class of encoders required, decoder process, and coded representations for compressed image data.  The Ohio AFIS adheres to the FBI’s specification for fingerprint image compression and decompression.  The specification provides an informative overview of the elements of the algorithm.  Refer to it for details.</w:t>
      </w:r>
    </w:p>
    <w:p w:rsidR="0037201D" w:rsidRDefault="0037201D">
      <w:pPr>
        <w:pStyle w:val="Heading2"/>
      </w:pPr>
      <w:bookmarkStart w:id="33" w:name="_Toc254877561"/>
      <w:r>
        <w:t>Fingerprint Image Quality Specifications</w:t>
      </w:r>
      <w:bookmarkEnd w:id="33"/>
      <w:r>
        <w:fldChar w:fldCharType="begin"/>
      </w:r>
      <w:r>
        <w:instrText>tc "3.3.3</w:instrText>
      </w:r>
      <w:r>
        <w:tab/>
        <w:instrText>FINGERPRINT IMAGE QUALITY SPECIFICATIONS" \l 1</w:instrText>
      </w:r>
      <w:r>
        <w:fldChar w:fldCharType="end"/>
      </w:r>
    </w:p>
    <w:p w:rsidR="0037201D" w:rsidRDefault="0037201D">
      <w:pPr>
        <w:pStyle w:val="BodyText"/>
        <w:rPr>
          <w:color w:val="333333"/>
        </w:rPr>
      </w:pPr>
      <w:r>
        <w:rPr>
          <w:color w:val="333333"/>
        </w:rPr>
        <w:t xml:space="preserve">The FBI’s Image Quality Specifications are provided in Appendix F of </w:t>
      </w:r>
      <w:r>
        <w:rPr>
          <w:i/>
          <w:color w:val="333333"/>
        </w:rPr>
        <w:t>Electronic Fingerprint Transmission Specification.</w:t>
      </w:r>
      <w:r>
        <w:rPr>
          <w:color w:val="333333"/>
        </w:rPr>
        <w:t xml:space="preserve">  Fingerprint images transmitted electronically to the Ohio AFIS shall adhere to the FBI’s fingerprint image quality specification, regarding fingerprint scanners.</w:t>
      </w:r>
    </w:p>
    <w:p w:rsidR="0037201D" w:rsidRDefault="0037201D">
      <w:pPr>
        <w:pStyle w:val="BodyText"/>
        <w:rPr>
          <w:b/>
        </w:rPr>
      </w:pPr>
      <w:r>
        <w:t xml:space="preserve"> </w:t>
      </w:r>
      <w:r>
        <w:rPr>
          <w:b/>
        </w:rPr>
        <w:t>Livescan machines must keep the following Image Quality/Sequence Errors to a minimum:</w:t>
      </w:r>
    </w:p>
    <w:p w:rsidR="0037201D" w:rsidRDefault="0037201D">
      <w:pPr>
        <w:pStyle w:val="BodyText"/>
        <w:numPr>
          <w:ilvl w:val="0"/>
          <w:numId w:val="19"/>
        </w:numPr>
        <w:spacing w:after="0" w:line="240" w:lineRule="auto"/>
        <w:rPr>
          <w:b/>
        </w:rPr>
      </w:pPr>
      <w:r>
        <w:rPr>
          <w:b/>
        </w:rPr>
        <w:t xml:space="preserve">Poor quality or incomplete fingerprint </w:t>
      </w:r>
    </w:p>
    <w:p w:rsidR="0037201D" w:rsidRDefault="0037201D">
      <w:pPr>
        <w:numPr>
          <w:ilvl w:val="0"/>
          <w:numId w:val="19"/>
        </w:numPr>
        <w:tabs>
          <w:tab w:val="left" w:pos="0"/>
          <w:tab w:val="left" w:pos="504"/>
          <w:tab w:val="left" w:pos="1656"/>
          <w:tab w:val="left" w:pos="453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1" w:lineRule="atLeast"/>
        <w:rPr>
          <w:rFonts w:ascii="Times New Roman" w:hAnsi="Times New Roman"/>
          <w:b/>
        </w:rPr>
      </w:pPr>
      <w:r>
        <w:rPr>
          <w:rFonts w:ascii="Times New Roman" w:hAnsi="Times New Roman"/>
          <w:b/>
        </w:rPr>
        <w:tab/>
        <w:t>Fingers or hands out of sequence</w:t>
      </w:r>
    </w:p>
    <w:p w:rsidR="0037201D" w:rsidRDefault="0037201D">
      <w:pPr>
        <w:numPr>
          <w:ilvl w:val="0"/>
          <w:numId w:val="19"/>
        </w:numPr>
        <w:tabs>
          <w:tab w:val="left" w:pos="0"/>
          <w:tab w:val="left" w:pos="504"/>
          <w:tab w:val="left" w:pos="1656"/>
          <w:tab w:val="left" w:pos="453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1" w:lineRule="atLeast"/>
        <w:rPr>
          <w:rFonts w:ascii="Times New Roman" w:hAnsi="Times New Roman"/>
          <w:b/>
        </w:rPr>
      </w:pPr>
      <w:r>
        <w:rPr>
          <w:rFonts w:ascii="Times New Roman" w:hAnsi="Times New Roman"/>
          <w:b/>
        </w:rPr>
        <w:tab/>
        <w:t>Finger or hand printed twice</w:t>
      </w:r>
    </w:p>
    <w:p w:rsidR="0037201D" w:rsidRDefault="0037201D">
      <w:pPr>
        <w:numPr>
          <w:ilvl w:val="0"/>
          <w:numId w:val="19"/>
        </w:numPr>
        <w:tabs>
          <w:tab w:val="left" w:pos="0"/>
          <w:tab w:val="left" w:pos="504"/>
          <w:tab w:val="left" w:pos="1656"/>
          <w:tab w:val="left" w:pos="453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1" w:lineRule="atLeast"/>
        <w:rPr>
          <w:rFonts w:ascii="Times New Roman" w:hAnsi="Times New Roman"/>
          <w:b/>
        </w:rPr>
      </w:pPr>
      <w:r>
        <w:rPr>
          <w:rFonts w:ascii="Times New Roman" w:hAnsi="Times New Roman"/>
          <w:b/>
        </w:rPr>
        <w:tab/>
        <w:t>Finger missing and no reason given</w:t>
      </w:r>
    </w:p>
    <w:p w:rsidR="0037201D" w:rsidRDefault="0037201D">
      <w:pPr>
        <w:tabs>
          <w:tab w:val="left" w:pos="0"/>
          <w:tab w:val="left" w:pos="504"/>
          <w:tab w:val="left" w:pos="1656"/>
          <w:tab w:val="left" w:pos="453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0" w:line="1" w:lineRule="atLeast"/>
        <w:ind w:left="720"/>
        <w:rPr>
          <w:rFonts w:ascii="Times New Roman" w:hAnsi="Times New Roman"/>
          <w:b/>
        </w:rPr>
      </w:pPr>
    </w:p>
    <w:p w:rsidR="0037201D" w:rsidRDefault="0037201D">
      <w:pPr>
        <w:pStyle w:val="BodyText"/>
      </w:pPr>
      <w:r>
        <w:rPr>
          <w:b/>
        </w:rPr>
        <w:t>When capturing fingerprints, the Livescan machine must cross check fingers with the flats to make sure fingers are not out of order.  The Livescan operator must make at least two attempts to capture each fingerprint. On the third attempt, the operator may override the machine and accept the fingerprint.</w:t>
      </w:r>
      <w:r>
        <w:t xml:space="preserve"> </w:t>
      </w:r>
    </w:p>
    <w:p w:rsidR="0037201D" w:rsidRDefault="0037201D">
      <w:pPr>
        <w:rPr>
          <w:rFonts w:ascii="Cambria" w:hAnsi="Cambria"/>
          <w:b/>
          <w:bCs/>
          <w:color w:val="365F91"/>
          <w:sz w:val="28"/>
          <w:szCs w:val="28"/>
        </w:rPr>
      </w:pPr>
      <w:r>
        <w:br w:type="page"/>
      </w:r>
    </w:p>
    <w:p w:rsidR="0037201D" w:rsidRDefault="0037201D">
      <w:pPr>
        <w:pStyle w:val="Heading1"/>
      </w:pPr>
      <w:bookmarkStart w:id="34" w:name="_Toc254877562"/>
      <w:r>
        <w:t>Data Transmission Procedures</w:t>
      </w:r>
      <w:bookmarkEnd w:id="34"/>
    </w:p>
    <w:p w:rsidR="0037201D" w:rsidRDefault="0037201D">
      <w:pPr>
        <w:pStyle w:val="BodyText"/>
      </w:pPr>
      <w:r>
        <w:t>This section contains specifications that govern how the Ohio AFIS will accept fingerprint and text data from the remote Livescan device, and also how the Ohio AFIS will send responses back to the device for processing.  The description focuses on software and procedural considerations.  The Livescan must be connected to the internet in order to reach the Ohio AFIS.</w:t>
      </w:r>
    </w:p>
    <w:p w:rsidR="0037201D" w:rsidRDefault="0037201D">
      <w:r>
        <w:t xml:space="preserve">The Ohio AFIS will allow only FTPS data transfers to be processed for electronic ten-print submissions.  No e-mails, remote log-ins, or any other kind of transactions are permitted.  Responses will be sent via SMTP.  Therefore, in order to communicate with the Ohio AFIS, the Livescan device must have both an FTPS client and an e-mail program.  </w:t>
      </w:r>
    </w:p>
    <w:p w:rsidR="0037201D" w:rsidRDefault="0037201D">
      <w:pPr>
        <w:pStyle w:val="Heading2"/>
      </w:pPr>
      <w:bookmarkStart w:id="35" w:name="_Toc254877563"/>
      <w:r>
        <w:t>Procedure for File Transfer</w:t>
      </w:r>
      <w:bookmarkEnd w:id="35"/>
    </w:p>
    <w:p w:rsidR="0037201D" w:rsidRDefault="0037201D">
      <w:pPr>
        <w:tabs>
          <w:tab w:val="left" w:pos="1080"/>
        </w:tabs>
        <w:rPr>
          <w:color w:val="333333"/>
        </w:rPr>
      </w:pPr>
      <w:r>
        <w:rPr>
          <w:color w:val="333333"/>
        </w:rPr>
        <w:t>For each transaction, two files will be transferred to the Ohio AFIS FTPS server: a *.NIST file and a *.SIG file.  Test files will go to the TEST folder, and production files will go to the PROD folder.  The procedure for file transfer is as follows:</w:t>
      </w:r>
    </w:p>
    <w:p w:rsidR="0037201D" w:rsidRDefault="0037201D">
      <w:pPr>
        <w:pStyle w:val="ListParagraph"/>
        <w:numPr>
          <w:ilvl w:val="0"/>
          <w:numId w:val="22"/>
        </w:numPr>
        <w:tabs>
          <w:tab w:val="left" w:pos="720"/>
        </w:tabs>
        <w:spacing w:after="0" w:line="240" w:lineRule="auto"/>
        <w:rPr>
          <w:color w:val="333333"/>
        </w:rPr>
      </w:pPr>
      <w:r>
        <w:rPr>
          <w:color w:val="333333"/>
        </w:rPr>
        <w:t>The vendor Livescan device connects via FTPS to the OAG FTPS server.</w:t>
      </w:r>
    </w:p>
    <w:p w:rsidR="0037201D" w:rsidRDefault="0037201D">
      <w:pPr>
        <w:pStyle w:val="ListParagraph"/>
        <w:numPr>
          <w:ilvl w:val="0"/>
          <w:numId w:val="22"/>
        </w:numPr>
        <w:tabs>
          <w:tab w:val="left" w:pos="720"/>
        </w:tabs>
        <w:spacing w:after="0" w:line="240" w:lineRule="auto"/>
        <w:rPr>
          <w:color w:val="333333"/>
        </w:rPr>
      </w:pPr>
      <w:r>
        <w:rPr>
          <w:color w:val="333333"/>
        </w:rPr>
        <w:t xml:space="preserve">The vendor writes the NIST file to the appropriate folder.  Incoming transaction NIST data must be in the format described in Appendix B and Appendix D. The file name must follow the naming convention described in section </w:t>
      </w:r>
      <w:fldSimple w:instr=" REF _Ref254876928 \r \h  \* MERGEFORMAT ">
        <w:r>
          <w:rPr>
            <w:i/>
            <w:color w:val="333333"/>
          </w:rPr>
          <w:t>5.2</w:t>
        </w:r>
      </w:fldSimple>
      <w:r>
        <w:rPr>
          <w:i/>
          <w:color w:val="333333"/>
        </w:rPr>
        <w:t xml:space="preserve"> </w:t>
      </w:r>
      <w:fldSimple w:instr=" REF _Ref254876909 \h  \* MERGEFORMAT ">
        <w:r>
          <w:rPr>
            <w:i/>
          </w:rPr>
          <w:t>File Naming Convention</w:t>
        </w:r>
      </w:fldSimple>
      <w:r>
        <w:rPr>
          <w:color w:val="333333"/>
        </w:rPr>
        <w:t>.  NIST files must have a .NIST extension.</w:t>
      </w:r>
    </w:p>
    <w:p w:rsidR="0037201D" w:rsidRDefault="0037201D">
      <w:pPr>
        <w:pStyle w:val="ListParagraph"/>
        <w:numPr>
          <w:ilvl w:val="0"/>
          <w:numId w:val="22"/>
        </w:numPr>
        <w:tabs>
          <w:tab w:val="left" w:pos="720"/>
        </w:tabs>
        <w:spacing w:after="0" w:line="240" w:lineRule="auto"/>
        <w:rPr>
          <w:color w:val="333333"/>
        </w:rPr>
      </w:pPr>
      <w:r>
        <w:rPr>
          <w:color w:val="333333"/>
        </w:rPr>
        <w:t xml:space="preserve">Upon successful upload of the NIST file, the vendor writes a signal file to the same folder.  The signal file has a .SIG extension, and must also be named following the naming convention described in section </w:t>
      </w:r>
      <w:fldSimple w:instr=" REF _Ref254876928 \r \h  \* MERGEFORMAT ">
        <w:r>
          <w:rPr>
            <w:i/>
            <w:color w:val="333333"/>
          </w:rPr>
          <w:t>5.2</w:t>
        </w:r>
      </w:fldSimple>
      <w:r>
        <w:rPr>
          <w:i/>
          <w:color w:val="333333"/>
        </w:rPr>
        <w:t xml:space="preserve"> </w:t>
      </w:r>
      <w:fldSimple w:instr=" REF _Ref254876909 \h  \* MERGEFORMAT ">
        <w:r>
          <w:rPr>
            <w:i/>
          </w:rPr>
          <w:t>File Naming Convention</w:t>
        </w:r>
      </w:fldSimple>
      <w:r>
        <w:rPr>
          <w:color w:val="333333"/>
        </w:rPr>
        <w:t>. The signal file is a text file containing the following data:</w:t>
      </w:r>
    </w:p>
    <w:p w:rsidR="0037201D" w:rsidRDefault="0037201D">
      <w:pPr>
        <w:pStyle w:val="ListParagraph"/>
        <w:tabs>
          <w:tab w:val="left" w:pos="720"/>
        </w:tabs>
        <w:spacing w:after="0" w:line="240" w:lineRule="auto"/>
        <w:ind w:left="1080"/>
        <w:rPr>
          <w:color w:val="333333"/>
        </w:rPr>
      </w:pPr>
    </w:p>
    <w:p w:rsidR="0037201D" w:rsidRDefault="0037201D">
      <w:pPr>
        <w:ind w:left="720"/>
        <w:rPr>
          <w:b/>
        </w:rPr>
      </w:pPr>
      <w:r>
        <w:rPr>
          <w:color w:val="333333"/>
        </w:rPr>
        <w:tab/>
      </w:r>
      <w:r>
        <w:rPr>
          <w:color w:val="333333"/>
        </w:rPr>
        <w:tab/>
      </w:r>
      <w:r>
        <w:rPr>
          <w:b/>
        </w:rPr>
        <w:t>SIGF:vendor_trans_no.NIST</w:t>
      </w:r>
    </w:p>
    <w:p w:rsidR="0037201D" w:rsidRDefault="0037201D">
      <w:pPr>
        <w:ind w:left="1728" w:firstLine="432"/>
        <w:rPr>
          <w:b/>
        </w:rPr>
      </w:pPr>
      <w:r>
        <w:rPr>
          <w:b/>
        </w:rPr>
        <w:t>__END__</w:t>
      </w:r>
    </w:p>
    <w:p w:rsidR="0037201D" w:rsidRDefault="0037201D">
      <w:pPr>
        <w:tabs>
          <w:tab w:val="left" w:pos="720"/>
        </w:tabs>
        <w:spacing w:after="0" w:line="240" w:lineRule="auto"/>
        <w:ind w:left="1080"/>
        <w:rPr>
          <w:color w:val="333333"/>
        </w:rPr>
      </w:pPr>
      <w:r>
        <w:rPr>
          <w:color w:val="333333"/>
        </w:rPr>
        <w:t>'SIGF' is the name of the signal file.  '__END__' is the end of file marker.  CAFIS will not process the signal file unless the '__END__' marker is present.</w:t>
      </w:r>
    </w:p>
    <w:p w:rsidR="0037201D" w:rsidRDefault="0037201D">
      <w:pPr>
        <w:tabs>
          <w:tab w:val="left" w:pos="720"/>
        </w:tabs>
        <w:spacing w:after="0" w:line="240" w:lineRule="auto"/>
        <w:ind w:left="1440"/>
        <w:rPr>
          <w:color w:val="333333"/>
        </w:rPr>
      </w:pPr>
    </w:p>
    <w:p w:rsidR="0037201D" w:rsidRDefault="0037201D">
      <w:pPr>
        <w:pStyle w:val="ListParagraph"/>
        <w:numPr>
          <w:ilvl w:val="0"/>
          <w:numId w:val="22"/>
        </w:numPr>
        <w:tabs>
          <w:tab w:val="left" w:pos="720"/>
        </w:tabs>
        <w:spacing w:after="0" w:line="240" w:lineRule="auto"/>
        <w:rPr>
          <w:color w:val="333333"/>
        </w:rPr>
      </w:pPr>
      <w:r>
        <w:rPr>
          <w:color w:val="333333"/>
        </w:rPr>
        <w:t xml:space="preserve">Verification of receipt of these files should be obtained from the FTPS logs of the sender’s FTPS client.  BCI will not send a response until the record has been processed.  </w:t>
      </w:r>
    </w:p>
    <w:p w:rsidR="0037201D" w:rsidRDefault="0037201D">
      <w:pPr>
        <w:rPr>
          <w:rFonts w:ascii="Cambria" w:hAnsi="Cambria"/>
          <w:b/>
          <w:bCs/>
          <w:color w:val="4F81BD"/>
          <w:sz w:val="26"/>
          <w:szCs w:val="26"/>
        </w:rPr>
      </w:pPr>
      <w:r>
        <w:br w:type="page"/>
      </w:r>
    </w:p>
    <w:p w:rsidR="0037201D" w:rsidRDefault="0037201D">
      <w:pPr>
        <w:pStyle w:val="Heading2"/>
      </w:pPr>
      <w:r>
        <w:t xml:space="preserve"> </w:t>
      </w:r>
      <w:bookmarkStart w:id="36" w:name="_Ref254876909"/>
      <w:bookmarkStart w:id="37" w:name="_Ref254876928"/>
      <w:bookmarkStart w:id="38" w:name="_Toc254877564"/>
      <w:r>
        <w:t>File Naming Convention</w:t>
      </w:r>
      <w:bookmarkEnd w:id="36"/>
      <w:bookmarkEnd w:id="37"/>
      <w:bookmarkEnd w:id="38"/>
    </w:p>
    <w:p w:rsidR="0037201D" w:rsidRDefault="0037201D">
      <w:pPr>
        <w:tabs>
          <w:tab w:val="left" w:pos="1080"/>
        </w:tabs>
        <w:ind w:left="720" w:hanging="720"/>
        <w:rPr>
          <w:color w:val="333333"/>
        </w:rPr>
      </w:pPr>
      <w:r>
        <w:rPr>
          <w:color w:val="333333"/>
        </w:rPr>
        <w:t xml:space="preserve">The .SIG and .NIST file should be named as follows: </w:t>
      </w:r>
    </w:p>
    <w:p w:rsidR="0037201D" w:rsidRDefault="0037201D">
      <w:pPr>
        <w:tabs>
          <w:tab w:val="left" w:pos="1080"/>
        </w:tabs>
        <w:ind w:left="720" w:hanging="720"/>
        <w:rPr>
          <w:b/>
          <w:color w:val="333333"/>
        </w:rPr>
      </w:pPr>
      <w:r>
        <w:rPr>
          <w:b/>
          <w:color w:val="333333"/>
        </w:rPr>
        <w:t>[prefix]_[ORI]_[ITN].*</w:t>
      </w:r>
    </w:p>
    <w:p w:rsidR="0037201D" w:rsidRDefault="0037201D">
      <w:pPr>
        <w:tabs>
          <w:tab w:val="left" w:pos="1080"/>
        </w:tabs>
        <w:ind w:left="720" w:hanging="720"/>
        <w:rPr>
          <w:color w:val="333333"/>
        </w:rPr>
      </w:pPr>
      <w:r>
        <w:rPr>
          <w:color w:val="333333"/>
        </w:rPr>
        <w:t>Prefixes correspond to the transaction type, as illustrated below:</w:t>
      </w:r>
    </w:p>
    <w:tbl>
      <w:tblPr>
        <w:tblW w:w="10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7"/>
        <w:gridCol w:w="883"/>
        <w:gridCol w:w="3956"/>
        <w:gridCol w:w="3810"/>
      </w:tblGrid>
      <w:tr w:rsidR="0037201D">
        <w:tc>
          <w:tcPr>
            <w:tcW w:w="1457" w:type="dxa"/>
            <w:shd w:val="clear" w:color="auto" w:fill="C0C0C0"/>
          </w:tcPr>
          <w:p w:rsidR="0037201D" w:rsidRDefault="0037201D">
            <w:pPr>
              <w:tabs>
                <w:tab w:val="left" w:pos="1080"/>
              </w:tabs>
              <w:spacing w:after="0" w:line="240" w:lineRule="auto"/>
              <w:rPr>
                <w:b/>
              </w:rPr>
            </w:pPr>
            <w:r>
              <w:rPr>
                <w:b/>
              </w:rPr>
              <w:t>Transaction Type</w:t>
            </w:r>
          </w:p>
        </w:tc>
        <w:tc>
          <w:tcPr>
            <w:tcW w:w="883" w:type="dxa"/>
            <w:shd w:val="clear" w:color="auto" w:fill="C0C0C0"/>
          </w:tcPr>
          <w:p w:rsidR="0037201D" w:rsidRDefault="0037201D">
            <w:pPr>
              <w:tabs>
                <w:tab w:val="left" w:pos="1080"/>
              </w:tabs>
              <w:spacing w:after="0" w:line="240" w:lineRule="auto"/>
              <w:rPr>
                <w:b/>
              </w:rPr>
            </w:pPr>
            <w:r>
              <w:rPr>
                <w:b/>
              </w:rPr>
              <w:t>Prefix</w:t>
            </w:r>
          </w:p>
        </w:tc>
        <w:tc>
          <w:tcPr>
            <w:tcW w:w="3956" w:type="dxa"/>
            <w:shd w:val="clear" w:color="auto" w:fill="C0C0C0"/>
          </w:tcPr>
          <w:p w:rsidR="0037201D" w:rsidRDefault="0037201D">
            <w:pPr>
              <w:tabs>
                <w:tab w:val="left" w:pos="1080"/>
              </w:tabs>
              <w:spacing w:after="0" w:line="240" w:lineRule="auto"/>
              <w:rPr>
                <w:b/>
              </w:rPr>
            </w:pPr>
            <w:r>
              <w:rPr>
                <w:b/>
              </w:rPr>
              <w:t>Example NIST File Name</w:t>
            </w:r>
          </w:p>
        </w:tc>
        <w:tc>
          <w:tcPr>
            <w:tcW w:w="3810" w:type="dxa"/>
            <w:shd w:val="clear" w:color="auto" w:fill="C0C0C0"/>
          </w:tcPr>
          <w:p w:rsidR="0037201D" w:rsidRDefault="0037201D">
            <w:pPr>
              <w:tabs>
                <w:tab w:val="left" w:pos="1080"/>
              </w:tabs>
              <w:spacing w:after="0" w:line="240" w:lineRule="auto"/>
              <w:rPr>
                <w:b/>
              </w:rPr>
            </w:pPr>
            <w:r>
              <w:rPr>
                <w:b/>
              </w:rPr>
              <w:t>Corresponding signal file name</w:t>
            </w:r>
          </w:p>
        </w:tc>
      </w:tr>
      <w:tr w:rsidR="0037201D">
        <w:tc>
          <w:tcPr>
            <w:tcW w:w="1457" w:type="dxa"/>
          </w:tcPr>
          <w:p w:rsidR="0037201D" w:rsidRDefault="0037201D">
            <w:pPr>
              <w:tabs>
                <w:tab w:val="left" w:pos="1080"/>
              </w:tabs>
              <w:spacing w:after="0" w:line="240" w:lineRule="auto"/>
              <w:rPr>
                <w:color w:val="333333"/>
              </w:rPr>
            </w:pPr>
            <w:r>
              <w:rPr>
                <w:color w:val="333333"/>
              </w:rPr>
              <w:t>CAR Adult</w:t>
            </w:r>
          </w:p>
        </w:tc>
        <w:tc>
          <w:tcPr>
            <w:tcW w:w="883" w:type="dxa"/>
          </w:tcPr>
          <w:p w:rsidR="0037201D" w:rsidRDefault="0037201D">
            <w:pPr>
              <w:tabs>
                <w:tab w:val="left" w:pos="1080"/>
              </w:tabs>
              <w:spacing w:after="0" w:line="240" w:lineRule="auto"/>
              <w:rPr>
                <w:color w:val="333333"/>
              </w:rPr>
            </w:pPr>
            <w:r>
              <w:rPr>
                <w:color w:val="333333"/>
              </w:rPr>
              <w:t>CARA</w:t>
            </w:r>
          </w:p>
        </w:tc>
        <w:tc>
          <w:tcPr>
            <w:tcW w:w="3956" w:type="dxa"/>
          </w:tcPr>
          <w:p w:rsidR="0037201D" w:rsidRDefault="0037201D">
            <w:pPr>
              <w:tabs>
                <w:tab w:val="left" w:pos="1080"/>
              </w:tabs>
              <w:spacing w:after="0" w:line="240" w:lineRule="auto"/>
              <w:rPr>
                <w:color w:val="333333"/>
              </w:rPr>
            </w:pPr>
            <w:r>
              <w:rPr>
                <w:color w:val="333333"/>
              </w:rPr>
              <w:t>CARA_OHBCI0000_999999ZZ.NIST</w:t>
            </w:r>
          </w:p>
        </w:tc>
        <w:tc>
          <w:tcPr>
            <w:tcW w:w="3810" w:type="dxa"/>
          </w:tcPr>
          <w:p w:rsidR="0037201D" w:rsidRDefault="0037201D">
            <w:pPr>
              <w:tabs>
                <w:tab w:val="left" w:pos="1080"/>
              </w:tabs>
              <w:spacing w:after="0" w:line="240" w:lineRule="auto"/>
              <w:rPr>
                <w:color w:val="333333"/>
              </w:rPr>
            </w:pPr>
            <w:r>
              <w:rPr>
                <w:color w:val="333333"/>
              </w:rPr>
              <w:t>CARA_OHBCI0000_999999ZZ.SIG</w:t>
            </w:r>
          </w:p>
        </w:tc>
      </w:tr>
      <w:tr w:rsidR="0037201D">
        <w:tc>
          <w:tcPr>
            <w:tcW w:w="1457" w:type="dxa"/>
          </w:tcPr>
          <w:p w:rsidR="0037201D" w:rsidRDefault="0037201D">
            <w:pPr>
              <w:tabs>
                <w:tab w:val="left" w:pos="1080"/>
              </w:tabs>
              <w:spacing w:after="0" w:line="240" w:lineRule="auto"/>
              <w:rPr>
                <w:color w:val="333333"/>
              </w:rPr>
            </w:pPr>
            <w:r>
              <w:rPr>
                <w:color w:val="333333"/>
              </w:rPr>
              <w:t>CAR Juvenile</w:t>
            </w:r>
          </w:p>
        </w:tc>
        <w:tc>
          <w:tcPr>
            <w:tcW w:w="883" w:type="dxa"/>
          </w:tcPr>
          <w:p w:rsidR="0037201D" w:rsidRDefault="0037201D">
            <w:pPr>
              <w:tabs>
                <w:tab w:val="left" w:pos="1080"/>
              </w:tabs>
              <w:spacing w:after="0" w:line="240" w:lineRule="auto"/>
              <w:rPr>
                <w:color w:val="333333"/>
              </w:rPr>
            </w:pPr>
            <w:r>
              <w:rPr>
                <w:color w:val="333333"/>
              </w:rPr>
              <w:t>CARJ</w:t>
            </w:r>
          </w:p>
        </w:tc>
        <w:tc>
          <w:tcPr>
            <w:tcW w:w="3956" w:type="dxa"/>
          </w:tcPr>
          <w:p w:rsidR="0037201D" w:rsidRDefault="0037201D">
            <w:pPr>
              <w:tabs>
                <w:tab w:val="left" w:pos="1080"/>
              </w:tabs>
              <w:spacing w:after="0" w:line="240" w:lineRule="auto"/>
              <w:rPr>
                <w:color w:val="333333"/>
              </w:rPr>
            </w:pPr>
            <w:r>
              <w:rPr>
                <w:color w:val="333333"/>
              </w:rPr>
              <w:t>CARJ_OHBCI0000_999999ZZ.NIST</w:t>
            </w:r>
          </w:p>
        </w:tc>
        <w:tc>
          <w:tcPr>
            <w:tcW w:w="3810" w:type="dxa"/>
          </w:tcPr>
          <w:p w:rsidR="0037201D" w:rsidRDefault="0037201D">
            <w:pPr>
              <w:tabs>
                <w:tab w:val="left" w:pos="1080"/>
              </w:tabs>
              <w:spacing w:after="0" w:line="240" w:lineRule="auto"/>
              <w:rPr>
                <w:color w:val="333333"/>
              </w:rPr>
            </w:pPr>
            <w:r>
              <w:rPr>
                <w:color w:val="333333"/>
              </w:rPr>
              <w:t>CARJ_OHBCI0000_999999ZZ.SIG</w:t>
            </w:r>
          </w:p>
        </w:tc>
      </w:tr>
      <w:tr w:rsidR="0037201D">
        <w:tc>
          <w:tcPr>
            <w:tcW w:w="1457" w:type="dxa"/>
          </w:tcPr>
          <w:p w:rsidR="0037201D" w:rsidRDefault="0037201D">
            <w:pPr>
              <w:tabs>
                <w:tab w:val="left" w:pos="1080"/>
              </w:tabs>
              <w:spacing w:after="0" w:line="240" w:lineRule="auto"/>
              <w:rPr>
                <w:color w:val="333333"/>
              </w:rPr>
            </w:pPr>
            <w:r>
              <w:rPr>
                <w:color w:val="333333"/>
              </w:rPr>
              <w:t>CFR</w:t>
            </w:r>
          </w:p>
        </w:tc>
        <w:tc>
          <w:tcPr>
            <w:tcW w:w="883" w:type="dxa"/>
          </w:tcPr>
          <w:p w:rsidR="0037201D" w:rsidRDefault="0037201D">
            <w:pPr>
              <w:tabs>
                <w:tab w:val="left" w:pos="1080"/>
              </w:tabs>
              <w:spacing w:after="0" w:line="240" w:lineRule="auto"/>
              <w:rPr>
                <w:color w:val="333333"/>
              </w:rPr>
            </w:pPr>
            <w:r>
              <w:rPr>
                <w:color w:val="333333"/>
              </w:rPr>
              <w:t>CFR</w:t>
            </w:r>
          </w:p>
        </w:tc>
        <w:tc>
          <w:tcPr>
            <w:tcW w:w="3956" w:type="dxa"/>
          </w:tcPr>
          <w:p w:rsidR="0037201D" w:rsidRDefault="0037201D">
            <w:pPr>
              <w:tabs>
                <w:tab w:val="left" w:pos="1080"/>
              </w:tabs>
              <w:spacing w:after="0" w:line="240" w:lineRule="auto"/>
              <w:rPr>
                <w:color w:val="333333"/>
              </w:rPr>
            </w:pPr>
            <w:r>
              <w:rPr>
                <w:color w:val="333333"/>
              </w:rPr>
              <w:t>CFR_OHBCI0000_999999ZZ.NIST</w:t>
            </w:r>
          </w:p>
        </w:tc>
        <w:tc>
          <w:tcPr>
            <w:tcW w:w="3810" w:type="dxa"/>
          </w:tcPr>
          <w:p w:rsidR="0037201D" w:rsidRDefault="0037201D">
            <w:pPr>
              <w:tabs>
                <w:tab w:val="left" w:pos="1080"/>
              </w:tabs>
              <w:spacing w:after="0" w:line="240" w:lineRule="auto"/>
              <w:rPr>
                <w:color w:val="333333"/>
              </w:rPr>
            </w:pPr>
            <w:r>
              <w:rPr>
                <w:color w:val="333333"/>
              </w:rPr>
              <w:t>CFR_OHBCI0000_999999ZZ.SIG</w:t>
            </w:r>
          </w:p>
        </w:tc>
      </w:tr>
      <w:tr w:rsidR="0037201D">
        <w:tc>
          <w:tcPr>
            <w:tcW w:w="1457" w:type="dxa"/>
          </w:tcPr>
          <w:p w:rsidR="0037201D" w:rsidRDefault="0037201D">
            <w:pPr>
              <w:tabs>
                <w:tab w:val="left" w:pos="1080"/>
              </w:tabs>
              <w:spacing w:after="0" w:line="240" w:lineRule="auto"/>
              <w:rPr>
                <w:color w:val="333333"/>
              </w:rPr>
            </w:pPr>
            <w:r>
              <w:rPr>
                <w:color w:val="333333"/>
              </w:rPr>
              <w:t>JLR Adult</w:t>
            </w:r>
          </w:p>
        </w:tc>
        <w:tc>
          <w:tcPr>
            <w:tcW w:w="883" w:type="dxa"/>
          </w:tcPr>
          <w:p w:rsidR="0037201D" w:rsidRDefault="0037201D">
            <w:pPr>
              <w:tabs>
                <w:tab w:val="left" w:pos="1080"/>
              </w:tabs>
              <w:spacing w:after="0" w:line="240" w:lineRule="auto"/>
              <w:rPr>
                <w:color w:val="333333"/>
              </w:rPr>
            </w:pPr>
            <w:r>
              <w:rPr>
                <w:color w:val="333333"/>
              </w:rPr>
              <w:t>JLRA</w:t>
            </w:r>
          </w:p>
        </w:tc>
        <w:tc>
          <w:tcPr>
            <w:tcW w:w="3956" w:type="dxa"/>
          </w:tcPr>
          <w:p w:rsidR="0037201D" w:rsidRDefault="0037201D">
            <w:pPr>
              <w:tabs>
                <w:tab w:val="left" w:pos="1080"/>
              </w:tabs>
              <w:spacing w:after="0" w:line="240" w:lineRule="auto"/>
              <w:rPr>
                <w:color w:val="333333"/>
              </w:rPr>
            </w:pPr>
            <w:r>
              <w:rPr>
                <w:color w:val="333333"/>
              </w:rPr>
              <w:t>JLRA_OHBCI0000_999999ZZ.NIST</w:t>
            </w:r>
          </w:p>
        </w:tc>
        <w:tc>
          <w:tcPr>
            <w:tcW w:w="3810" w:type="dxa"/>
          </w:tcPr>
          <w:p w:rsidR="0037201D" w:rsidRDefault="0037201D">
            <w:pPr>
              <w:tabs>
                <w:tab w:val="left" w:pos="1080"/>
              </w:tabs>
              <w:spacing w:after="0" w:line="240" w:lineRule="auto"/>
              <w:rPr>
                <w:color w:val="333333"/>
              </w:rPr>
            </w:pPr>
            <w:r>
              <w:rPr>
                <w:color w:val="333333"/>
              </w:rPr>
              <w:t>JLRA_OHBCI0000_999999ZZ.SIG</w:t>
            </w:r>
          </w:p>
        </w:tc>
      </w:tr>
      <w:tr w:rsidR="0037201D">
        <w:tc>
          <w:tcPr>
            <w:tcW w:w="1457" w:type="dxa"/>
          </w:tcPr>
          <w:p w:rsidR="0037201D" w:rsidRDefault="0037201D">
            <w:pPr>
              <w:tabs>
                <w:tab w:val="left" w:pos="1080"/>
              </w:tabs>
              <w:spacing w:after="0" w:line="240" w:lineRule="auto"/>
              <w:rPr>
                <w:color w:val="333333"/>
              </w:rPr>
            </w:pPr>
            <w:r>
              <w:rPr>
                <w:color w:val="333333"/>
              </w:rPr>
              <w:t>JLR Juvenile</w:t>
            </w:r>
          </w:p>
        </w:tc>
        <w:tc>
          <w:tcPr>
            <w:tcW w:w="883" w:type="dxa"/>
          </w:tcPr>
          <w:p w:rsidR="0037201D" w:rsidRDefault="0037201D">
            <w:pPr>
              <w:tabs>
                <w:tab w:val="left" w:pos="1080"/>
              </w:tabs>
              <w:spacing w:after="0" w:line="240" w:lineRule="auto"/>
              <w:rPr>
                <w:color w:val="333333"/>
              </w:rPr>
            </w:pPr>
            <w:r>
              <w:rPr>
                <w:color w:val="333333"/>
              </w:rPr>
              <w:t>JLRJ</w:t>
            </w:r>
          </w:p>
        </w:tc>
        <w:tc>
          <w:tcPr>
            <w:tcW w:w="3956" w:type="dxa"/>
          </w:tcPr>
          <w:p w:rsidR="0037201D" w:rsidRDefault="0037201D">
            <w:pPr>
              <w:tabs>
                <w:tab w:val="left" w:pos="1080"/>
              </w:tabs>
              <w:spacing w:after="0" w:line="240" w:lineRule="auto"/>
              <w:rPr>
                <w:color w:val="333333"/>
              </w:rPr>
            </w:pPr>
            <w:r>
              <w:rPr>
                <w:color w:val="333333"/>
              </w:rPr>
              <w:t>JLRJ_OHBCI0000_999999ZZ.NIST</w:t>
            </w:r>
          </w:p>
        </w:tc>
        <w:tc>
          <w:tcPr>
            <w:tcW w:w="3810" w:type="dxa"/>
          </w:tcPr>
          <w:p w:rsidR="0037201D" w:rsidRDefault="0037201D">
            <w:pPr>
              <w:tabs>
                <w:tab w:val="left" w:pos="1080"/>
              </w:tabs>
              <w:spacing w:after="0" w:line="240" w:lineRule="auto"/>
              <w:rPr>
                <w:color w:val="333333"/>
              </w:rPr>
            </w:pPr>
            <w:r>
              <w:rPr>
                <w:color w:val="333333"/>
              </w:rPr>
              <w:t>JLRJ_OHBCI0000_999999ZZ.SIG</w:t>
            </w:r>
          </w:p>
        </w:tc>
      </w:tr>
    </w:tbl>
    <w:p w:rsidR="0037201D" w:rsidRDefault="0037201D">
      <w:pPr>
        <w:tabs>
          <w:tab w:val="left" w:pos="1080"/>
        </w:tabs>
        <w:rPr>
          <w:color w:val="333333"/>
        </w:rPr>
      </w:pPr>
    </w:p>
    <w:p w:rsidR="0037201D" w:rsidRDefault="0037201D">
      <w:pPr>
        <w:tabs>
          <w:tab w:val="left" w:pos="1080"/>
        </w:tabs>
        <w:rPr>
          <w:color w:val="333333"/>
        </w:rPr>
      </w:pPr>
      <w:r>
        <w:rPr>
          <w:color w:val="333333"/>
        </w:rPr>
        <w:t>The ORI should be the ORI of the submitting agency, and should match the value in 1.08 of the corresponding NIST file.  The ITN should be the ITN of the transaction, and should match the value in 2.102 of the corresponding NIST file.</w:t>
      </w:r>
    </w:p>
    <w:p w:rsidR="0037201D" w:rsidRDefault="0037201D">
      <w:pPr>
        <w:pStyle w:val="Heading2"/>
      </w:pPr>
      <w:bookmarkStart w:id="39" w:name="_Toc254877565"/>
      <w:r>
        <w:t>Procedure for Response Messages</w:t>
      </w:r>
      <w:bookmarkEnd w:id="39"/>
    </w:p>
    <w:p w:rsidR="0037201D" w:rsidRDefault="0037201D">
      <w:pPr>
        <w:rPr>
          <w:i/>
        </w:rPr>
      </w:pPr>
      <w:r>
        <w:t xml:space="preserve">Once the NIST file and SIG file are transferred to the Ohio AFIS via FTPS, the ten-print transaction is processed by the Ohio AFIS.  When processing completes, an E-mail response (see section </w:t>
      </w:r>
      <w:fldSimple w:instr=" REF _Ref254877082 \r \h  \* MERGEFORMAT ">
        <w:r>
          <w:rPr>
            <w:i/>
          </w:rPr>
          <w:t>0</w:t>
        </w:r>
      </w:fldSimple>
      <w:r>
        <w:rPr>
          <w:i/>
        </w:rPr>
        <w:t xml:space="preserve"> </w:t>
      </w:r>
      <w:r>
        <w:fldChar w:fldCharType="begin"/>
      </w:r>
      <w:r>
        <w:instrText xml:space="preserve"> REF _Ref254877094 \h  \* MERGEFORMAT </w:instrText>
      </w:r>
      <w:r>
        <w:fldChar w:fldCharType="separate"/>
      </w:r>
      <w:r>
        <w:rPr>
          <w:i/>
        </w:rPr>
        <w:br w:type="page"/>
      </w:r>
    </w:p>
    <w:p w:rsidR="0037201D" w:rsidRDefault="0037201D">
      <w:r>
        <w:rPr>
          <w:i/>
        </w:rPr>
        <w:t>Responses to Ten-Print</w:t>
      </w:r>
      <w:r>
        <w:t xml:space="preserve"> Submissions</w:t>
      </w:r>
      <w:r>
        <w:fldChar w:fldCharType="end"/>
      </w:r>
      <w:r>
        <w:t>) is sent back to the e-mail address configured for the requesting agency, as agreed upon by BCI and the vendor.  There must be an e-mail program available to receive this response, for processing by the Livescan software.  The E-mail program must be based on the Internet’s Simple Mail Transfer Protocol (SMTP) with the Multipurpose Internet Mail Extensions (MIME).</w:t>
      </w:r>
    </w:p>
    <w:p w:rsidR="0037201D" w:rsidRDefault="0037201D">
      <w:pPr>
        <w:rPr>
          <w:rFonts w:ascii="Cambria" w:hAnsi="Cambria"/>
          <w:b/>
          <w:bCs/>
          <w:color w:val="365F91"/>
          <w:sz w:val="28"/>
          <w:szCs w:val="28"/>
        </w:rPr>
      </w:pPr>
      <w:r>
        <w:br w:type="page"/>
      </w:r>
    </w:p>
    <w:p w:rsidR="0037201D" w:rsidRDefault="0037201D">
      <w:pPr>
        <w:pStyle w:val="Heading1"/>
      </w:pPr>
      <w:bookmarkStart w:id="40" w:name="_Toc254877566"/>
      <w:r>
        <w:t>Document Change History</w:t>
      </w:r>
      <w:bookmarkEnd w:id="24"/>
      <w:bookmarkEnd w:id="25"/>
      <w:bookmarkEnd w:id="26"/>
      <w:bookmarkEnd w:id="27"/>
      <w:bookmarkEnd w:id="28"/>
      <w:bookmarkEnd w:id="40"/>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8"/>
        <w:gridCol w:w="1075"/>
        <w:gridCol w:w="6975"/>
      </w:tblGrid>
      <w:tr w:rsidR="0037201D">
        <w:trPr>
          <w:cantSplit/>
          <w:tblHeader/>
        </w:trPr>
        <w:tc>
          <w:tcPr>
            <w:tcW w:w="0" w:type="auto"/>
            <w:vAlign w:val="center"/>
          </w:tcPr>
          <w:p w:rsidR="0037201D" w:rsidRDefault="0037201D">
            <w:pPr>
              <w:pStyle w:val="Tableheaderrow"/>
              <w:rPr>
                <w:rFonts w:ascii="Calibri" w:hAnsi="Calibri"/>
              </w:rPr>
            </w:pPr>
            <w:r>
              <w:rPr>
                <w:rFonts w:ascii="Calibri" w:hAnsi="Calibri"/>
              </w:rPr>
              <w:t>Version</w:t>
            </w:r>
          </w:p>
        </w:tc>
        <w:tc>
          <w:tcPr>
            <w:tcW w:w="0" w:type="auto"/>
            <w:vAlign w:val="center"/>
          </w:tcPr>
          <w:p w:rsidR="0037201D" w:rsidRDefault="0037201D">
            <w:pPr>
              <w:pStyle w:val="Tableheaderrow"/>
              <w:rPr>
                <w:rFonts w:ascii="Calibri" w:hAnsi="Calibri"/>
              </w:rPr>
            </w:pPr>
            <w:r>
              <w:rPr>
                <w:rFonts w:ascii="Calibri" w:hAnsi="Calibri"/>
              </w:rPr>
              <w:t>Date</w:t>
            </w:r>
          </w:p>
        </w:tc>
        <w:tc>
          <w:tcPr>
            <w:tcW w:w="0" w:type="auto"/>
            <w:vAlign w:val="center"/>
          </w:tcPr>
          <w:p w:rsidR="0037201D" w:rsidRDefault="0037201D">
            <w:pPr>
              <w:pStyle w:val="Tableheaderrow"/>
              <w:rPr>
                <w:rFonts w:ascii="Calibri" w:hAnsi="Calibri"/>
              </w:rPr>
            </w:pPr>
            <w:r>
              <w:rPr>
                <w:rFonts w:ascii="Calibri" w:hAnsi="Calibri"/>
              </w:rPr>
              <w:t>Description/ Reason for Change</w:t>
            </w:r>
          </w:p>
        </w:tc>
      </w:tr>
      <w:tr w:rsidR="0037201D">
        <w:trPr>
          <w:cantSplit/>
        </w:trPr>
        <w:tc>
          <w:tcPr>
            <w:tcW w:w="0" w:type="auto"/>
          </w:tcPr>
          <w:p w:rsidR="0037201D" w:rsidRDefault="0037201D">
            <w:pPr>
              <w:pStyle w:val="Tablerow"/>
              <w:jc w:val="center"/>
              <w:rPr>
                <w:rStyle w:val="Dataitem"/>
                <w:rFonts w:ascii="Calibri" w:hAnsi="Calibri"/>
                <w:color w:val="auto"/>
                <w:szCs w:val="22"/>
              </w:rPr>
            </w:pPr>
            <w:r>
              <w:rPr>
                <w:rStyle w:val="Dataitem"/>
                <w:rFonts w:ascii="Calibri" w:hAnsi="Calibri"/>
                <w:color w:val="auto"/>
                <w:szCs w:val="22"/>
              </w:rPr>
              <w:t>2009</w:t>
            </w:r>
          </w:p>
        </w:tc>
        <w:tc>
          <w:tcPr>
            <w:tcW w:w="0" w:type="auto"/>
          </w:tcPr>
          <w:p w:rsidR="0037201D" w:rsidRDefault="0037201D">
            <w:pPr>
              <w:pStyle w:val="Tablerow"/>
              <w:rPr>
                <w:rStyle w:val="Dataitem"/>
                <w:rFonts w:ascii="Calibri" w:hAnsi="Calibri"/>
                <w:color w:val="auto"/>
                <w:szCs w:val="22"/>
              </w:rPr>
            </w:pPr>
            <w:r>
              <w:rPr>
                <w:rStyle w:val="Dataitem"/>
                <w:rFonts w:ascii="Calibri" w:hAnsi="Calibri"/>
                <w:color w:val="auto"/>
                <w:szCs w:val="22"/>
              </w:rPr>
              <w:t>5/1/2009</w:t>
            </w:r>
          </w:p>
        </w:tc>
        <w:tc>
          <w:tcPr>
            <w:tcW w:w="0" w:type="auto"/>
          </w:tcPr>
          <w:p w:rsidR="0037201D" w:rsidRDefault="0037201D">
            <w:pPr>
              <w:spacing w:after="0" w:line="240" w:lineRule="auto"/>
              <w:rPr>
                <w:b/>
                <w:i/>
                <w:iCs/>
              </w:rPr>
            </w:pPr>
            <w:r>
              <w:rPr>
                <w:b/>
                <w:i/>
                <w:iCs/>
              </w:rPr>
              <w:t>Appendix A</w:t>
            </w:r>
          </w:p>
          <w:p w:rsidR="0037201D" w:rsidRDefault="0037201D">
            <w:pPr>
              <w:spacing w:after="0" w:line="240" w:lineRule="auto"/>
              <w:rPr>
                <w:iCs/>
              </w:rPr>
            </w:pPr>
            <w:bookmarkStart w:id="41" w:name="OLE_LINK3"/>
            <w:bookmarkStart w:id="42" w:name="OLE_LINK4"/>
            <w:bookmarkStart w:id="43" w:name="OLE_LINK13"/>
            <w:bookmarkStart w:id="44" w:name="OLE_LINK14"/>
            <w:r>
              <w:rPr>
                <w:iCs/>
              </w:rPr>
              <w:t xml:space="preserve">LCI-A and LCI-J fields were </w:t>
            </w:r>
            <w:bookmarkEnd w:id="41"/>
            <w:bookmarkEnd w:id="42"/>
            <w:r>
              <w:rPr>
                <w:iCs/>
              </w:rPr>
              <w:t>added</w:t>
            </w:r>
          </w:p>
          <w:p w:rsidR="0037201D" w:rsidRDefault="0037201D">
            <w:pPr>
              <w:spacing w:after="0" w:line="240" w:lineRule="auto"/>
              <w:rPr>
                <w:iCs/>
              </w:rPr>
            </w:pPr>
            <w:r>
              <w:rPr>
                <w:iCs/>
              </w:rPr>
              <w:t>UCR-A and UCR-J fields were added</w:t>
            </w:r>
          </w:p>
          <w:p w:rsidR="0037201D" w:rsidRDefault="0037201D">
            <w:pPr>
              <w:spacing w:after="0" w:line="240" w:lineRule="auto"/>
              <w:rPr>
                <w:iCs/>
              </w:rPr>
            </w:pPr>
            <w:r>
              <w:rPr>
                <w:iCs/>
              </w:rPr>
              <w:t>CTY changed to optional for JLR</w:t>
            </w:r>
          </w:p>
          <w:p w:rsidR="0037201D" w:rsidRDefault="0037201D">
            <w:pPr>
              <w:spacing w:after="0" w:line="240" w:lineRule="auto"/>
              <w:rPr>
                <w:iCs/>
              </w:rPr>
            </w:pPr>
            <w:r>
              <w:rPr>
                <w:iCs/>
              </w:rPr>
              <w:t xml:space="preserve">ORI-J was removed from CFR </w:t>
            </w:r>
          </w:p>
          <w:p w:rsidR="0037201D" w:rsidRDefault="0037201D">
            <w:pPr>
              <w:spacing w:after="0" w:line="240" w:lineRule="auto"/>
              <w:rPr>
                <w:b/>
                <w:i/>
                <w:iCs/>
              </w:rPr>
            </w:pPr>
            <w:r>
              <w:rPr>
                <w:b/>
                <w:i/>
                <w:iCs/>
              </w:rPr>
              <w:t>Appendix B</w:t>
            </w:r>
            <w:bookmarkEnd w:id="43"/>
            <w:bookmarkEnd w:id="44"/>
          </w:p>
          <w:p w:rsidR="0037201D" w:rsidRDefault="0037201D">
            <w:pPr>
              <w:spacing w:after="0" w:line="240" w:lineRule="auto"/>
              <w:rPr>
                <w:iCs/>
              </w:rPr>
            </w:pPr>
            <w:r>
              <w:rPr>
                <w:iCs/>
              </w:rPr>
              <w:t>The Definition for the LCI-A and LCI-J has been added.</w:t>
            </w:r>
          </w:p>
          <w:p w:rsidR="0037201D" w:rsidRDefault="0037201D">
            <w:pPr>
              <w:spacing w:after="0" w:line="240" w:lineRule="auto"/>
              <w:rPr>
                <w:iCs/>
              </w:rPr>
            </w:pPr>
            <w:r>
              <w:rPr>
                <w:iCs/>
              </w:rPr>
              <w:t>The Definition for the LTR-A and LTR-J has been updated.</w:t>
            </w:r>
          </w:p>
          <w:p w:rsidR="0037201D" w:rsidRDefault="0037201D">
            <w:pPr>
              <w:spacing w:after="0" w:line="240" w:lineRule="auto"/>
              <w:rPr>
                <w:iCs/>
              </w:rPr>
            </w:pPr>
            <w:r>
              <w:rPr>
                <w:iCs/>
              </w:rPr>
              <w:t>The Definition for the ORC-A and ORC-J has been updated.</w:t>
            </w:r>
          </w:p>
          <w:p w:rsidR="0037201D" w:rsidRDefault="0037201D">
            <w:pPr>
              <w:spacing w:after="0" w:line="240" w:lineRule="auto"/>
              <w:rPr>
                <w:iCs/>
              </w:rPr>
            </w:pPr>
            <w:r>
              <w:rPr>
                <w:iCs/>
              </w:rPr>
              <w:t>The Definition for the UCR-A and UCR-J has been added.</w:t>
            </w:r>
          </w:p>
          <w:p w:rsidR="0037201D" w:rsidRDefault="0037201D">
            <w:pPr>
              <w:spacing w:after="0" w:line="240" w:lineRule="auto"/>
              <w:rPr>
                <w:b/>
                <w:i/>
                <w:iCs/>
              </w:rPr>
            </w:pPr>
            <w:r>
              <w:rPr>
                <w:b/>
                <w:i/>
                <w:iCs/>
              </w:rPr>
              <w:t>Appendix C</w:t>
            </w:r>
          </w:p>
          <w:p w:rsidR="0037201D" w:rsidRDefault="0037201D">
            <w:pPr>
              <w:spacing w:after="0" w:line="240" w:lineRule="auto"/>
              <w:rPr>
                <w:i/>
                <w:iCs/>
              </w:rPr>
            </w:pPr>
            <w:r>
              <w:rPr>
                <w:iCs/>
              </w:rPr>
              <w:t>Print Requirements have changed. JLR disposition data must print.</w:t>
            </w:r>
          </w:p>
          <w:p w:rsidR="0037201D" w:rsidRDefault="0037201D">
            <w:pPr>
              <w:spacing w:after="0" w:line="240" w:lineRule="auto"/>
              <w:rPr>
                <w:b/>
                <w:i/>
                <w:iCs/>
              </w:rPr>
            </w:pPr>
            <w:r>
              <w:rPr>
                <w:b/>
                <w:i/>
                <w:iCs/>
              </w:rPr>
              <w:t>Appendix E</w:t>
            </w:r>
          </w:p>
          <w:p w:rsidR="0037201D" w:rsidRDefault="0037201D">
            <w:pPr>
              <w:spacing w:after="0" w:line="240" w:lineRule="auto"/>
              <w:rPr>
                <w:iCs/>
              </w:rPr>
            </w:pPr>
            <w:r>
              <w:rPr>
                <w:iCs/>
              </w:rPr>
              <w:t>Certification Check Lists have been updated.</w:t>
            </w:r>
          </w:p>
          <w:p w:rsidR="0037201D" w:rsidRDefault="0037201D">
            <w:pPr>
              <w:spacing w:after="0" w:line="240" w:lineRule="auto"/>
              <w:rPr>
                <w:b/>
                <w:i/>
                <w:iCs/>
              </w:rPr>
            </w:pPr>
            <w:r>
              <w:rPr>
                <w:b/>
                <w:i/>
                <w:iCs/>
              </w:rPr>
              <w:t xml:space="preserve">ORC-LTR Table    </w:t>
            </w:r>
          </w:p>
          <w:p w:rsidR="0037201D" w:rsidRDefault="0037201D">
            <w:pPr>
              <w:spacing w:after="0" w:line="240" w:lineRule="auto"/>
              <w:rPr>
                <w:i/>
                <w:iCs/>
              </w:rPr>
            </w:pPr>
            <w:bookmarkStart w:id="45" w:name="OLE_LINK11"/>
            <w:bookmarkStart w:id="46" w:name="OLE_LINK12"/>
            <w:r>
              <w:rPr>
                <w:iCs/>
              </w:rPr>
              <w:t>2 fields (LCI and UCR) were added to the ORC-LTR table.</w:t>
            </w:r>
          </w:p>
          <w:p w:rsidR="0037201D" w:rsidRDefault="0037201D">
            <w:pPr>
              <w:spacing w:after="0" w:line="240" w:lineRule="auto"/>
              <w:rPr>
                <w:b/>
                <w:i/>
                <w:iCs/>
              </w:rPr>
            </w:pPr>
            <w:r>
              <w:rPr>
                <w:b/>
                <w:i/>
                <w:iCs/>
              </w:rPr>
              <w:t xml:space="preserve">ORI-Jfile Table    </w:t>
            </w:r>
          </w:p>
          <w:bookmarkEnd w:id="45"/>
          <w:bookmarkEnd w:id="46"/>
          <w:p w:rsidR="0037201D" w:rsidRDefault="0037201D">
            <w:pPr>
              <w:spacing w:after="0" w:line="240" w:lineRule="auto"/>
              <w:rPr>
                <w:i/>
                <w:iCs/>
              </w:rPr>
            </w:pPr>
            <w:r>
              <w:rPr>
                <w:iCs/>
              </w:rPr>
              <w:t>2 fields (COUNTY-NAME and county-code) were added to the ORC-Jfile table.</w:t>
            </w:r>
          </w:p>
          <w:p w:rsidR="0037201D" w:rsidRDefault="0037201D">
            <w:pPr>
              <w:spacing w:after="0" w:line="240" w:lineRule="auto"/>
              <w:rPr>
                <w:b/>
                <w:i/>
                <w:iCs/>
              </w:rPr>
            </w:pPr>
            <w:r>
              <w:rPr>
                <w:b/>
                <w:i/>
                <w:iCs/>
              </w:rPr>
              <w:t xml:space="preserve">UCR-CODES Table    </w:t>
            </w:r>
          </w:p>
          <w:p w:rsidR="0037201D" w:rsidRDefault="0037201D">
            <w:pPr>
              <w:spacing w:after="0" w:line="240" w:lineRule="auto"/>
              <w:rPr>
                <w:rStyle w:val="Instruction"/>
                <w:rFonts w:ascii="Calibri" w:hAnsi="Calibri"/>
                <w:b/>
                <w:iCs/>
                <w:color w:val="auto"/>
              </w:rPr>
            </w:pPr>
            <w:r>
              <w:rPr>
                <w:iCs/>
              </w:rPr>
              <w:t>A new table was created containing UCR codes and their descriptions.</w:t>
            </w:r>
          </w:p>
        </w:tc>
      </w:tr>
      <w:tr w:rsidR="0037201D">
        <w:trPr>
          <w:cantSplit/>
        </w:trPr>
        <w:tc>
          <w:tcPr>
            <w:tcW w:w="0" w:type="auto"/>
          </w:tcPr>
          <w:p w:rsidR="0037201D" w:rsidRDefault="0037201D">
            <w:pPr>
              <w:pStyle w:val="Tablerow"/>
              <w:jc w:val="center"/>
              <w:rPr>
                <w:rStyle w:val="Dataitem"/>
                <w:rFonts w:ascii="Calibri" w:hAnsi="Calibri"/>
                <w:color w:val="auto"/>
                <w:szCs w:val="22"/>
              </w:rPr>
            </w:pPr>
            <w:r>
              <w:rPr>
                <w:rStyle w:val="Dataitem"/>
                <w:rFonts w:ascii="Calibri" w:hAnsi="Calibri"/>
                <w:color w:val="auto"/>
                <w:szCs w:val="22"/>
              </w:rPr>
              <w:t>Version 8.1</w:t>
            </w:r>
          </w:p>
        </w:tc>
        <w:tc>
          <w:tcPr>
            <w:tcW w:w="0" w:type="auto"/>
          </w:tcPr>
          <w:p w:rsidR="0037201D" w:rsidRDefault="0037201D">
            <w:pPr>
              <w:pStyle w:val="Tablerow"/>
              <w:rPr>
                <w:rStyle w:val="Dataitem"/>
                <w:rFonts w:ascii="Calibri" w:hAnsi="Calibri"/>
                <w:color w:val="auto"/>
                <w:szCs w:val="22"/>
              </w:rPr>
            </w:pPr>
            <w:r>
              <w:rPr>
                <w:rStyle w:val="Dataitem"/>
                <w:rFonts w:ascii="Calibri" w:hAnsi="Calibri"/>
                <w:color w:val="auto"/>
                <w:szCs w:val="22"/>
              </w:rPr>
              <w:t>TBD</w:t>
            </w:r>
          </w:p>
        </w:tc>
        <w:tc>
          <w:tcPr>
            <w:tcW w:w="0" w:type="auto"/>
          </w:tcPr>
          <w:p w:rsidR="0037201D" w:rsidRDefault="0037201D">
            <w:pPr>
              <w:pStyle w:val="Tablerow"/>
              <w:rPr>
                <w:rFonts w:ascii="Calibri" w:hAnsi="Calibri"/>
                <w:i/>
                <w:sz w:val="22"/>
                <w:szCs w:val="22"/>
              </w:rPr>
            </w:pPr>
            <w:r>
              <w:rPr>
                <w:rFonts w:ascii="Calibri" w:hAnsi="Calibri"/>
                <w:iCs/>
                <w:sz w:val="22"/>
                <w:szCs w:val="22"/>
              </w:rPr>
              <w:t xml:space="preserve">Inbound transmission method changed from e-mail via LEADS to FTPS.  </w:t>
            </w:r>
          </w:p>
        </w:tc>
      </w:tr>
    </w:tbl>
    <w:p w:rsidR="0037201D" w:rsidRDefault="0037201D"/>
    <w:sectPr w:rsidR="0037201D" w:rsidSect="009A551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01D" w:rsidRDefault="0037201D">
      <w:pPr>
        <w:spacing w:after="0" w:line="240" w:lineRule="auto"/>
      </w:pPr>
      <w:r>
        <w:separator/>
      </w:r>
    </w:p>
  </w:endnote>
  <w:endnote w:type="continuationSeparator" w:id="1">
    <w:p w:rsidR="0037201D" w:rsidRDefault="003720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rPr>
        <w:sz w:val="20"/>
        <w:szCs w:val="20"/>
      </w:rPr>
    </w:pPr>
    <w:r>
      <w:rPr>
        <w:sz w:val="20"/>
        <w:szCs w:val="20"/>
      </w:rPr>
      <w:t xml:space="preserve">Page </w:t>
    </w:r>
    <w:r>
      <w:rPr>
        <w:sz w:val="20"/>
        <w:szCs w:val="20"/>
      </w:rPr>
      <w:fldChar w:fldCharType="begin"/>
    </w:r>
    <w:r>
      <w:rPr>
        <w:sz w:val="20"/>
        <w:szCs w:val="20"/>
      </w:rPr>
      <w:instrText xml:space="preserve"> PAGE </w:instrText>
    </w:r>
    <w:r>
      <w:rPr>
        <w:sz w:val="20"/>
        <w:szCs w:val="20"/>
      </w:rPr>
      <w:fldChar w:fldCharType="separate"/>
    </w:r>
    <w:r>
      <w:rPr>
        <w:noProof/>
        <w:sz w:val="20"/>
        <w:szCs w:val="20"/>
      </w:rPr>
      <w:t>5</w:t>
    </w:r>
    <w:r>
      <w:rPr>
        <w:sz w:val="20"/>
        <w:szCs w:val="20"/>
      </w:rPr>
      <w:fldChar w:fldCharType="end"/>
    </w:r>
    <w:r>
      <w:rPr>
        <w:sz w:val="20"/>
        <w:szCs w:val="20"/>
      </w:rPr>
      <w:t xml:space="preserve"> of </w:t>
    </w:r>
    <w:r>
      <w:rPr>
        <w:sz w:val="20"/>
        <w:szCs w:val="20"/>
      </w:rPr>
      <w:fldChar w:fldCharType="begin"/>
    </w:r>
    <w:r>
      <w:rPr>
        <w:sz w:val="20"/>
        <w:szCs w:val="20"/>
      </w:rPr>
      <w:instrText xml:space="preserve"> NUMPAGES  </w:instrText>
    </w:r>
    <w:r>
      <w:rPr>
        <w:sz w:val="20"/>
        <w:szCs w:val="20"/>
      </w:rPr>
      <w:fldChar w:fldCharType="separate"/>
    </w:r>
    <w:r>
      <w:rPr>
        <w:noProof/>
        <w:sz w:val="20"/>
        <w:szCs w:val="20"/>
      </w:rPr>
      <w:t>13</w:t>
    </w:r>
    <w:r>
      <w:rPr>
        <w:sz w:val="20"/>
        <w:szCs w:val="20"/>
      </w:rPr>
      <w:fldChar w:fldCharType="end"/>
    </w:r>
  </w:p>
  <w:p w:rsidR="0037201D" w:rsidRDefault="0037201D">
    <w:pPr>
      <w:pStyle w:val="NoSpacing"/>
      <w:rPr>
        <w:sz w:val="16"/>
        <w:szCs w:val="16"/>
      </w:rPr>
    </w:pPr>
    <w:r>
      <w:rPr>
        <w:sz w:val="16"/>
        <w:szCs w:val="16"/>
      </w:rPr>
      <w:t>Issued By:</w:t>
    </w:r>
  </w:p>
  <w:p w:rsidR="0037201D" w:rsidRDefault="0037201D">
    <w:pPr>
      <w:pStyle w:val="NoSpacing"/>
      <w:rPr>
        <w:sz w:val="16"/>
        <w:szCs w:val="16"/>
      </w:rPr>
    </w:pPr>
    <w:smartTag w:uri="urn:schemas-microsoft-com:office:smarttags" w:element="State">
      <w:smartTag w:uri="urn:schemas-microsoft-com:office:smarttags" w:element="place">
        <w:r>
          <w:rPr>
            <w:sz w:val="16"/>
            <w:szCs w:val="16"/>
          </w:rPr>
          <w:t>Ohio</w:t>
        </w:r>
      </w:smartTag>
    </w:smartTag>
    <w:r>
      <w:rPr>
        <w:sz w:val="16"/>
        <w:szCs w:val="16"/>
      </w:rPr>
      <w:t xml:space="preserve"> Bureau of Criminal Identification &amp; Investigation</w:t>
    </w:r>
  </w:p>
  <w:p w:rsidR="0037201D" w:rsidRDefault="0037201D">
    <w:pPr>
      <w:pStyle w:val="NoSpacing"/>
      <w:rPr>
        <w:sz w:val="16"/>
        <w:szCs w:val="16"/>
      </w:rPr>
    </w:pPr>
    <w:smartTag w:uri="urn:schemas-microsoft-com:office:smarttags" w:element="address">
      <w:smartTag w:uri="urn:schemas-microsoft-com:office:smarttags" w:element="Street">
        <w:smartTag w:uri="urn:schemas-microsoft-com:office:smarttags" w:element="address">
          <w:smartTag w:uri="urn:schemas-microsoft-com:office:smarttags" w:element="Street">
            <w:r>
              <w:rPr>
                <w:sz w:val="16"/>
                <w:szCs w:val="16"/>
              </w:rPr>
              <w:t>P.O. Box</w:t>
            </w:r>
          </w:smartTag>
        </w:smartTag>
        <w:r>
          <w:rPr>
            <w:sz w:val="16"/>
            <w:szCs w:val="16"/>
          </w:rPr>
          <w:t xml:space="preserve"> 365</w:t>
        </w:r>
      </w:smartTag>
    </w:smartTag>
  </w:p>
  <w:p w:rsidR="0037201D" w:rsidRDefault="0037201D">
    <w:pPr>
      <w:pStyle w:val="NoSpacing"/>
      <w:rPr>
        <w:sz w:val="16"/>
        <w:szCs w:val="16"/>
      </w:rPr>
    </w:pPr>
    <w:smartTag w:uri="urn:schemas-microsoft-com:office:smarttags" w:element="City">
      <w:smartTag w:uri="urn:schemas-microsoft-com:office:smarttags" w:element="place">
        <w:smartTag w:uri="urn:schemas-microsoft-com:office:smarttags" w:element="City">
          <w:r>
            <w:rPr>
              <w:sz w:val="16"/>
              <w:szCs w:val="16"/>
            </w:rPr>
            <w:t>London</w:t>
          </w:r>
        </w:smartTag>
        <w:r>
          <w:rPr>
            <w:sz w:val="16"/>
            <w:szCs w:val="16"/>
          </w:rPr>
          <w:t xml:space="preserve">, </w:t>
        </w:r>
        <w:smartTag w:uri="urn:schemas-microsoft-com:office:smarttags" w:element="PostalCode">
          <w:r>
            <w:rPr>
              <w:sz w:val="16"/>
              <w:szCs w:val="16"/>
            </w:rPr>
            <w:t>Ohio</w:t>
          </w:r>
        </w:smartTag>
        <w:r>
          <w:rPr>
            <w:sz w:val="16"/>
            <w:szCs w:val="16"/>
          </w:rPr>
          <w:t xml:space="preserve">  </w:t>
        </w:r>
        <w:smartTag w:uri="urn:schemas-microsoft-com:office:smarttags" w:element="PostalCode">
          <w:r>
            <w:rPr>
              <w:sz w:val="16"/>
              <w:szCs w:val="16"/>
            </w:rPr>
            <w:t>43140</w:t>
          </w:r>
        </w:smartTag>
      </w:smartTag>
    </w:smartTag>
    <w:r>
      <w:rPr>
        <w:sz w:val="16"/>
        <w:szCs w:val="16"/>
      </w:rPr>
      <w:br/>
    </w:r>
  </w:p>
  <w:p w:rsidR="0037201D" w:rsidRDefault="0037201D">
    <w:pPr>
      <w:pStyle w:val="NoSpacing"/>
    </w:pPr>
    <w:r>
      <w:rPr>
        <w:sz w:val="16"/>
        <w:szCs w:val="16"/>
      </w:rPr>
      <w:t xml:space="preserve">Direct questions to: </w:t>
    </w:r>
    <w:hyperlink r:id="rId1" w:history="1">
      <w:r>
        <w:rPr>
          <w:rStyle w:val="Hyperlink"/>
          <w:sz w:val="16"/>
          <w:szCs w:val="16"/>
        </w:rPr>
        <w:t>TechSupport@OhioAttorneyGeneral.gov</w:t>
      </w:r>
    </w:hyperlink>
    <w:r>
      <w:rPr>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01D" w:rsidRDefault="0037201D">
      <w:pPr>
        <w:spacing w:after="0" w:line="240" w:lineRule="auto"/>
      </w:pPr>
      <w:r>
        <w:separator/>
      </w:r>
    </w:p>
  </w:footnote>
  <w:footnote w:type="continuationSeparator" w:id="1">
    <w:p w:rsidR="0037201D" w:rsidRDefault="003720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1D" w:rsidRDefault="003720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3DE0326C"/>
    <w:lvl w:ilvl="0">
      <w:start w:val="1"/>
      <w:numFmt w:val="bullet"/>
      <w:lvlText w:val=""/>
      <w:lvlJc w:val="left"/>
      <w:pPr>
        <w:tabs>
          <w:tab w:val="num" w:pos="720"/>
        </w:tabs>
        <w:ind w:left="720" w:hanging="360"/>
      </w:pPr>
      <w:rPr>
        <w:rFonts w:ascii="Symbol" w:hAnsi="Symbol" w:hint="default"/>
      </w:rPr>
    </w:lvl>
  </w:abstractNum>
  <w:abstractNum w:abstractNumId="1">
    <w:nsid w:val="022C7CD4"/>
    <w:multiLevelType w:val="hybridMultilevel"/>
    <w:tmpl w:val="077C75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513D69"/>
    <w:multiLevelType w:val="hybridMultilevel"/>
    <w:tmpl w:val="95960D6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525508"/>
    <w:multiLevelType w:val="hybridMultilevel"/>
    <w:tmpl w:val="A0EE7858"/>
    <w:lvl w:ilvl="0" w:tplc="2AB02698">
      <w:start w:val="1"/>
      <w:numFmt w:val="decimal"/>
      <w:lvlText w:val="%1."/>
      <w:lvlJc w:val="left"/>
      <w:pPr>
        <w:ind w:left="1080" w:hanging="360"/>
      </w:pPr>
      <w:rPr>
        <w:rFonts w:ascii="Calibri" w:eastAsia="Times New Roman" w:hAnsi="Calibri"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370B5CE2"/>
    <w:multiLevelType w:val="hybridMultilevel"/>
    <w:tmpl w:val="547C85E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D4956A9"/>
    <w:multiLevelType w:val="hybridMultilevel"/>
    <w:tmpl w:val="706679A0"/>
    <w:lvl w:ilvl="0" w:tplc="8460BF9C">
      <w:start w:val="1"/>
      <w:numFmt w:val="decimal"/>
      <w:lvlText w:val="%1)"/>
      <w:lvlJc w:val="left"/>
      <w:pPr>
        <w:tabs>
          <w:tab w:val="num" w:pos="936"/>
        </w:tabs>
        <w:ind w:left="936" w:hanging="360"/>
      </w:pPr>
      <w:rPr>
        <w:rFonts w:cs="Times New Roman" w:hint="default"/>
        <w:b/>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6">
    <w:nsid w:val="3DA40932"/>
    <w:multiLevelType w:val="hybridMultilevel"/>
    <w:tmpl w:val="DD5CB91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7A7241C"/>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8">
    <w:nsid w:val="4FE31026"/>
    <w:multiLevelType w:val="hybridMultilevel"/>
    <w:tmpl w:val="8DB49FAA"/>
    <w:lvl w:ilvl="0" w:tplc="0409000F">
      <w:start w:val="1"/>
      <w:numFmt w:val="decimal"/>
      <w:lvlText w:val="%1."/>
      <w:lvlJc w:val="left"/>
      <w:pPr>
        <w:ind w:left="1296" w:hanging="360"/>
      </w:pPr>
      <w:rPr>
        <w:rFonts w:cs="Times New Roman"/>
      </w:rPr>
    </w:lvl>
    <w:lvl w:ilvl="1" w:tplc="04090019" w:tentative="1">
      <w:start w:val="1"/>
      <w:numFmt w:val="lowerLetter"/>
      <w:lvlText w:val="%2."/>
      <w:lvlJc w:val="left"/>
      <w:pPr>
        <w:ind w:left="2016" w:hanging="360"/>
      </w:pPr>
      <w:rPr>
        <w:rFonts w:cs="Times New Roman"/>
      </w:rPr>
    </w:lvl>
    <w:lvl w:ilvl="2" w:tplc="0409001B" w:tentative="1">
      <w:start w:val="1"/>
      <w:numFmt w:val="lowerRoman"/>
      <w:lvlText w:val="%3."/>
      <w:lvlJc w:val="right"/>
      <w:pPr>
        <w:ind w:left="2736" w:hanging="180"/>
      </w:pPr>
      <w:rPr>
        <w:rFonts w:cs="Times New Roman"/>
      </w:rPr>
    </w:lvl>
    <w:lvl w:ilvl="3" w:tplc="0409000F" w:tentative="1">
      <w:start w:val="1"/>
      <w:numFmt w:val="decimal"/>
      <w:lvlText w:val="%4."/>
      <w:lvlJc w:val="left"/>
      <w:pPr>
        <w:ind w:left="3456" w:hanging="360"/>
      </w:pPr>
      <w:rPr>
        <w:rFonts w:cs="Times New Roman"/>
      </w:rPr>
    </w:lvl>
    <w:lvl w:ilvl="4" w:tplc="04090019" w:tentative="1">
      <w:start w:val="1"/>
      <w:numFmt w:val="lowerLetter"/>
      <w:lvlText w:val="%5."/>
      <w:lvlJc w:val="left"/>
      <w:pPr>
        <w:ind w:left="4176" w:hanging="360"/>
      </w:pPr>
      <w:rPr>
        <w:rFonts w:cs="Times New Roman"/>
      </w:rPr>
    </w:lvl>
    <w:lvl w:ilvl="5" w:tplc="0409001B" w:tentative="1">
      <w:start w:val="1"/>
      <w:numFmt w:val="lowerRoman"/>
      <w:lvlText w:val="%6."/>
      <w:lvlJc w:val="right"/>
      <w:pPr>
        <w:ind w:left="4896" w:hanging="180"/>
      </w:pPr>
      <w:rPr>
        <w:rFonts w:cs="Times New Roman"/>
      </w:rPr>
    </w:lvl>
    <w:lvl w:ilvl="6" w:tplc="0409000F" w:tentative="1">
      <w:start w:val="1"/>
      <w:numFmt w:val="decimal"/>
      <w:lvlText w:val="%7."/>
      <w:lvlJc w:val="left"/>
      <w:pPr>
        <w:ind w:left="5616" w:hanging="360"/>
      </w:pPr>
      <w:rPr>
        <w:rFonts w:cs="Times New Roman"/>
      </w:rPr>
    </w:lvl>
    <w:lvl w:ilvl="7" w:tplc="04090019" w:tentative="1">
      <w:start w:val="1"/>
      <w:numFmt w:val="lowerLetter"/>
      <w:lvlText w:val="%8."/>
      <w:lvlJc w:val="left"/>
      <w:pPr>
        <w:ind w:left="6336" w:hanging="360"/>
      </w:pPr>
      <w:rPr>
        <w:rFonts w:cs="Times New Roman"/>
      </w:rPr>
    </w:lvl>
    <w:lvl w:ilvl="8" w:tplc="0409001B" w:tentative="1">
      <w:start w:val="1"/>
      <w:numFmt w:val="lowerRoman"/>
      <w:lvlText w:val="%9."/>
      <w:lvlJc w:val="right"/>
      <w:pPr>
        <w:ind w:left="7056" w:hanging="180"/>
      </w:pPr>
      <w:rPr>
        <w:rFonts w:cs="Times New Roman"/>
      </w:rPr>
    </w:lvl>
  </w:abstractNum>
  <w:abstractNum w:abstractNumId="9">
    <w:nsid w:val="6F6123F1"/>
    <w:multiLevelType w:val="hybridMultilevel"/>
    <w:tmpl w:val="E7CC04C6"/>
    <w:lvl w:ilvl="0" w:tplc="4198F710">
      <w:start w:val="1"/>
      <w:numFmt w:val="lowerLetter"/>
      <w:lvlText w:val="%1)"/>
      <w:lvlJc w:val="left"/>
      <w:pPr>
        <w:tabs>
          <w:tab w:val="num" w:pos="1872"/>
        </w:tabs>
        <w:ind w:left="1872" w:hanging="360"/>
      </w:pPr>
      <w:rPr>
        <w:rFonts w:cs="Times New Roman" w:hint="default"/>
      </w:rPr>
    </w:lvl>
    <w:lvl w:ilvl="1" w:tplc="04090019" w:tentative="1">
      <w:start w:val="1"/>
      <w:numFmt w:val="lowerLetter"/>
      <w:lvlText w:val="%2."/>
      <w:lvlJc w:val="left"/>
      <w:pPr>
        <w:tabs>
          <w:tab w:val="num" w:pos="2592"/>
        </w:tabs>
        <w:ind w:left="2592" w:hanging="360"/>
      </w:pPr>
      <w:rPr>
        <w:rFonts w:cs="Times New Roman"/>
      </w:rPr>
    </w:lvl>
    <w:lvl w:ilvl="2" w:tplc="0409001B" w:tentative="1">
      <w:start w:val="1"/>
      <w:numFmt w:val="lowerRoman"/>
      <w:lvlText w:val="%3."/>
      <w:lvlJc w:val="right"/>
      <w:pPr>
        <w:tabs>
          <w:tab w:val="num" w:pos="3312"/>
        </w:tabs>
        <w:ind w:left="3312" w:hanging="180"/>
      </w:pPr>
      <w:rPr>
        <w:rFonts w:cs="Times New Roman"/>
      </w:rPr>
    </w:lvl>
    <w:lvl w:ilvl="3" w:tplc="0409000F" w:tentative="1">
      <w:start w:val="1"/>
      <w:numFmt w:val="decimal"/>
      <w:lvlText w:val="%4."/>
      <w:lvlJc w:val="left"/>
      <w:pPr>
        <w:tabs>
          <w:tab w:val="num" w:pos="4032"/>
        </w:tabs>
        <w:ind w:left="4032" w:hanging="360"/>
      </w:pPr>
      <w:rPr>
        <w:rFonts w:cs="Times New Roman"/>
      </w:rPr>
    </w:lvl>
    <w:lvl w:ilvl="4" w:tplc="04090019" w:tentative="1">
      <w:start w:val="1"/>
      <w:numFmt w:val="lowerLetter"/>
      <w:lvlText w:val="%5."/>
      <w:lvlJc w:val="left"/>
      <w:pPr>
        <w:tabs>
          <w:tab w:val="num" w:pos="4752"/>
        </w:tabs>
        <w:ind w:left="4752" w:hanging="360"/>
      </w:pPr>
      <w:rPr>
        <w:rFonts w:cs="Times New Roman"/>
      </w:rPr>
    </w:lvl>
    <w:lvl w:ilvl="5" w:tplc="0409001B" w:tentative="1">
      <w:start w:val="1"/>
      <w:numFmt w:val="lowerRoman"/>
      <w:lvlText w:val="%6."/>
      <w:lvlJc w:val="right"/>
      <w:pPr>
        <w:tabs>
          <w:tab w:val="num" w:pos="5472"/>
        </w:tabs>
        <w:ind w:left="5472" w:hanging="180"/>
      </w:pPr>
      <w:rPr>
        <w:rFonts w:cs="Times New Roman"/>
      </w:rPr>
    </w:lvl>
    <w:lvl w:ilvl="6" w:tplc="0409000F" w:tentative="1">
      <w:start w:val="1"/>
      <w:numFmt w:val="decimal"/>
      <w:lvlText w:val="%7."/>
      <w:lvlJc w:val="left"/>
      <w:pPr>
        <w:tabs>
          <w:tab w:val="num" w:pos="6192"/>
        </w:tabs>
        <w:ind w:left="6192" w:hanging="360"/>
      </w:pPr>
      <w:rPr>
        <w:rFonts w:cs="Times New Roman"/>
      </w:rPr>
    </w:lvl>
    <w:lvl w:ilvl="7" w:tplc="04090019" w:tentative="1">
      <w:start w:val="1"/>
      <w:numFmt w:val="lowerLetter"/>
      <w:lvlText w:val="%8."/>
      <w:lvlJc w:val="left"/>
      <w:pPr>
        <w:tabs>
          <w:tab w:val="num" w:pos="6912"/>
        </w:tabs>
        <w:ind w:left="6912" w:hanging="360"/>
      </w:pPr>
      <w:rPr>
        <w:rFonts w:cs="Times New Roman"/>
      </w:rPr>
    </w:lvl>
    <w:lvl w:ilvl="8" w:tplc="0409001B" w:tentative="1">
      <w:start w:val="1"/>
      <w:numFmt w:val="lowerRoman"/>
      <w:lvlText w:val="%9."/>
      <w:lvlJc w:val="right"/>
      <w:pPr>
        <w:tabs>
          <w:tab w:val="num" w:pos="7632"/>
        </w:tabs>
        <w:ind w:left="7632" w:hanging="180"/>
      </w:pPr>
      <w:rPr>
        <w:rFonts w:cs="Times New Roman"/>
      </w:rPr>
    </w:lvl>
  </w:abstractNum>
  <w:abstractNum w:abstractNumId="10">
    <w:nsid w:val="71726109"/>
    <w:multiLevelType w:val="hybridMultilevel"/>
    <w:tmpl w:val="A9F4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A93842"/>
    <w:multiLevelType w:val="hybridMultilevel"/>
    <w:tmpl w:val="DE363720"/>
    <w:lvl w:ilvl="0" w:tplc="4488AA4A">
      <w:start w:val="1"/>
      <w:numFmt w:val="upperLetter"/>
      <w:pStyle w:val="AppendixTitle"/>
      <w:lvlText w:val="Appendix %1:"/>
      <w:lvlJc w:val="left"/>
      <w:pPr>
        <w:tabs>
          <w:tab w:val="num" w:pos="0"/>
        </w:tabs>
        <w:ind w:firstLine="28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76E73E17"/>
    <w:multiLevelType w:val="hybridMultilevel"/>
    <w:tmpl w:val="2520C1DE"/>
    <w:lvl w:ilvl="0" w:tplc="FE7ED2E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7BBD5B29"/>
    <w:multiLevelType w:val="hybridMultilevel"/>
    <w:tmpl w:val="041CFEEE"/>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1"/>
  </w:num>
  <w:num w:numId="12">
    <w:abstractNumId w:val="5"/>
  </w:num>
  <w:num w:numId="13">
    <w:abstractNumId w:val="8"/>
  </w:num>
  <w:num w:numId="14">
    <w:abstractNumId w:val="9"/>
  </w:num>
  <w:num w:numId="15">
    <w:abstractNumId w:val="2"/>
  </w:num>
  <w:num w:numId="16">
    <w:abstractNumId w:val="10"/>
  </w:num>
  <w:num w:numId="17">
    <w:abstractNumId w:val="6"/>
  </w:num>
  <w:num w:numId="18">
    <w:abstractNumId w:val="4"/>
  </w:num>
  <w:num w:numId="19">
    <w:abstractNumId w:val="1"/>
  </w:num>
  <w:num w:numId="20">
    <w:abstractNumId w:val="12"/>
  </w:num>
  <w:num w:numId="21">
    <w:abstractNumId w:val="13"/>
  </w:num>
  <w:num w:numId="22">
    <w:abstractNumId w:val="3"/>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5224"/>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01D"/>
    <w:rsid w:val="0037201D"/>
    <w:rsid w:val="009A55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9"/>
    <w:qFormat/>
    <w:pPr>
      <w:keepNext/>
      <w:keepLines/>
      <w:numPr>
        <w:numId w:val="23"/>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numPr>
        <w:ilvl w:val="1"/>
        <w:numId w:val="23"/>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numPr>
        <w:ilvl w:val="2"/>
        <w:numId w:val="23"/>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numPr>
        <w:ilvl w:val="3"/>
        <w:numId w:val="23"/>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pPr>
      <w:keepNext/>
      <w:keepLines/>
      <w:numPr>
        <w:ilvl w:val="4"/>
        <w:numId w:val="23"/>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pPr>
      <w:keepNext/>
      <w:keepLines/>
      <w:numPr>
        <w:ilvl w:val="5"/>
        <w:numId w:val="23"/>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pPr>
      <w:keepNext/>
      <w:keepLines/>
      <w:numPr>
        <w:ilvl w:val="6"/>
        <w:numId w:val="23"/>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pPr>
      <w:keepNext/>
      <w:keepLines/>
      <w:numPr>
        <w:ilvl w:val="7"/>
        <w:numId w:val="23"/>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pPr>
      <w:keepNext/>
      <w:keepLines/>
      <w:numPr>
        <w:ilvl w:val="8"/>
        <w:numId w:val="23"/>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9"/>
    <w:locked/>
    <w:rPr>
      <w:rFonts w:ascii="Cambria" w:eastAsia="Times New Roman" w:hAnsi="Cambria"/>
      <w:b/>
      <w:bCs/>
      <w:color w:val="4F81BD"/>
      <w:sz w:val="26"/>
      <w:szCs w:val="26"/>
    </w:rPr>
  </w:style>
  <w:style w:type="character" w:customStyle="1" w:styleId="Heading3Char">
    <w:name w:val="Heading 3 Char"/>
    <w:basedOn w:val="DefaultParagraphFont"/>
    <w:link w:val="Heading3"/>
    <w:uiPriority w:val="99"/>
    <w:locked/>
    <w:rPr>
      <w:rFonts w:ascii="Cambria" w:eastAsia="Times New Roman" w:hAnsi="Cambria"/>
      <w:b/>
      <w:bCs/>
      <w:color w:val="4F81BD"/>
    </w:rPr>
  </w:style>
  <w:style w:type="character" w:customStyle="1" w:styleId="Heading4Char">
    <w:name w:val="Heading 4 Char"/>
    <w:basedOn w:val="DefaultParagraphFont"/>
    <w:link w:val="Heading4"/>
    <w:uiPriority w:val="99"/>
    <w:locked/>
    <w:rPr>
      <w:rFonts w:ascii="Cambria" w:eastAsia="Times New Roman" w:hAnsi="Cambria"/>
      <w:b/>
      <w:bCs/>
      <w:i/>
      <w:iCs/>
      <w:color w:val="4F81BD"/>
    </w:rPr>
  </w:style>
  <w:style w:type="character" w:customStyle="1" w:styleId="Heading5Char">
    <w:name w:val="Heading 5 Char"/>
    <w:basedOn w:val="DefaultParagraphFont"/>
    <w:link w:val="Heading5"/>
    <w:uiPriority w:val="99"/>
    <w:locked/>
    <w:rPr>
      <w:rFonts w:ascii="Cambria" w:eastAsia="Times New Roman" w:hAnsi="Cambria"/>
      <w:color w:val="243F60"/>
    </w:rPr>
  </w:style>
  <w:style w:type="character" w:customStyle="1" w:styleId="Heading6Char">
    <w:name w:val="Heading 6 Char"/>
    <w:basedOn w:val="DefaultParagraphFont"/>
    <w:link w:val="Heading6"/>
    <w:uiPriority w:val="99"/>
    <w:locked/>
    <w:rPr>
      <w:rFonts w:ascii="Cambria" w:eastAsia="Times New Roman" w:hAnsi="Cambria"/>
      <w:i/>
      <w:iCs/>
      <w:color w:val="243F60"/>
    </w:rPr>
  </w:style>
  <w:style w:type="character" w:customStyle="1" w:styleId="Heading7Char">
    <w:name w:val="Heading 7 Char"/>
    <w:basedOn w:val="DefaultParagraphFont"/>
    <w:link w:val="Heading7"/>
    <w:uiPriority w:val="99"/>
    <w:locked/>
    <w:rPr>
      <w:rFonts w:ascii="Cambria" w:eastAsia="Times New Roman" w:hAnsi="Cambria"/>
      <w:i/>
      <w:iCs/>
      <w:color w:val="404040"/>
    </w:rPr>
  </w:style>
  <w:style w:type="character" w:customStyle="1" w:styleId="Heading8Char">
    <w:name w:val="Heading 8 Char"/>
    <w:basedOn w:val="DefaultParagraphFont"/>
    <w:link w:val="Heading8"/>
    <w:uiPriority w:val="99"/>
    <w:locked/>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Pr>
      <w:rFonts w:ascii="Cambria" w:eastAsia="Times New Roman" w:hAnsi="Cambria"/>
      <w:i/>
      <w:iCs/>
      <w:color w:val="404040"/>
      <w:sz w:val="20"/>
      <w:szCs w:val="20"/>
    </w:rPr>
  </w:style>
  <w:style w:type="character" w:customStyle="1" w:styleId="Instruction">
    <w:name w:val="Instruction"/>
    <w:basedOn w:val="DefaultParagraphFont"/>
    <w:uiPriority w:val="99"/>
    <w:rPr>
      <w:rFonts w:ascii="Times New Roman" w:hAnsi="Times New Roman" w:cs="Times New Roman"/>
      <w:i/>
      <w:color w:val="3366FF"/>
      <w:kern w:val="0"/>
      <w:sz w:val="22"/>
      <w:u w:val="none"/>
      <w:vertAlign w:val="baseline"/>
    </w:rPr>
  </w:style>
  <w:style w:type="table" w:styleId="TableGrid">
    <w:name w:val="Table Grid"/>
    <w:basedOn w:val="TableNormal"/>
    <w:uiPriority w:val="9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OCaptionStyle">
    <w:name w:val="AGO Caption Style"/>
    <w:basedOn w:val="Caption"/>
    <w:autoRedefine/>
    <w:uiPriority w:val="99"/>
    <w:pPr>
      <w:keepNext/>
      <w:spacing w:after="120"/>
      <w:jc w:val="center"/>
    </w:pPr>
    <w:rPr>
      <w:rFonts w:ascii="Arial" w:eastAsia="Times New Roman" w:hAnsi="Arial"/>
      <w:i/>
      <w:color w:val="auto"/>
      <w:sz w:val="22"/>
      <w:szCs w:val="22"/>
    </w:rPr>
  </w:style>
  <w:style w:type="paragraph" w:customStyle="1" w:styleId="Tableheaderrow">
    <w:name w:val="Table header row"/>
    <w:basedOn w:val="BodyText"/>
    <w:autoRedefine/>
    <w:uiPriority w:val="99"/>
    <w:pPr>
      <w:spacing w:before="60" w:after="60" w:line="240" w:lineRule="auto"/>
      <w:jc w:val="center"/>
    </w:pPr>
    <w:rPr>
      <w:rFonts w:ascii="Times New Roman" w:eastAsia="Times New Roman" w:hAnsi="Times New Roman"/>
      <w:b/>
      <w:i/>
    </w:rPr>
  </w:style>
  <w:style w:type="paragraph" w:customStyle="1" w:styleId="Tablerow">
    <w:name w:val="Table row"/>
    <w:basedOn w:val="BodyText"/>
    <w:uiPriority w:val="99"/>
    <w:pPr>
      <w:spacing w:before="60" w:after="60" w:line="240" w:lineRule="auto"/>
    </w:pPr>
    <w:rPr>
      <w:rFonts w:ascii="Arial" w:eastAsia="Times New Roman" w:hAnsi="Arial"/>
      <w:sz w:val="20"/>
      <w:szCs w:val="24"/>
    </w:rPr>
  </w:style>
  <w:style w:type="paragraph" w:styleId="FootnoteText">
    <w:name w:val="footnote text"/>
    <w:basedOn w:val="Normal"/>
    <w:link w:val="FootnoteTextChar"/>
    <w:autoRedefine/>
    <w:uiPriority w:val="99"/>
    <w:semiHidden/>
    <w:pPr>
      <w:spacing w:after="0" w:line="240" w:lineRule="auto"/>
    </w:pPr>
    <w:rPr>
      <w:rFonts w:ascii="Times New Roman" w:eastAsia="Times New Roman" w:hAnsi="Times New Roman"/>
      <w:sz w:val="18"/>
      <w:szCs w:val="18"/>
    </w:rPr>
  </w:style>
  <w:style w:type="character" w:customStyle="1" w:styleId="FootnoteTextChar">
    <w:name w:val="Footnote Text Char"/>
    <w:basedOn w:val="DefaultParagraphFont"/>
    <w:link w:val="FootnoteText"/>
    <w:uiPriority w:val="99"/>
    <w:semiHidden/>
    <w:locked/>
    <w:rPr>
      <w:rFonts w:ascii="Times New Roman" w:hAnsi="Times New Roman" w:cs="Times New Roman"/>
      <w:sz w:val="18"/>
      <w:szCs w:val="18"/>
    </w:rPr>
  </w:style>
  <w:style w:type="character" w:styleId="FootnoteReference">
    <w:name w:val="footnote reference"/>
    <w:basedOn w:val="DefaultParagraphFont"/>
    <w:uiPriority w:val="99"/>
    <w:semiHidden/>
    <w:rPr>
      <w:rFonts w:cs="Times New Roman"/>
      <w:vertAlign w:val="superscript"/>
    </w:rPr>
  </w:style>
  <w:style w:type="paragraph" w:customStyle="1" w:styleId="AppendixTitle">
    <w:name w:val="Appendix Title"/>
    <w:basedOn w:val="Normal"/>
    <w:next w:val="Normal"/>
    <w:autoRedefine/>
    <w:uiPriority w:val="99"/>
    <w:pPr>
      <w:keepNext/>
      <w:pageBreakBefore/>
      <w:numPr>
        <w:numId w:val="11"/>
      </w:numPr>
      <w:spacing w:after="240" w:line="240" w:lineRule="auto"/>
      <w:jc w:val="center"/>
    </w:pPr>
    <w:rPr>
      <w:rFonts w:ascii="Arial" w:eastAsia="Times New Roman" w:hAnsi="Arial"/>
      <w:b/>
      <w:sz w:val="28"/>
      <w:szCs w:val="24"/>
    </w:rPr>
  </w:style>
  <w:style w:type="character" w:customStyle="1" w:styleId="Dataitem">
    <w:name w:val="Data item"/>
    <w:basedOn w:val="DefaultParagraphFont"/>
    <w:uiPriority w:val="99"/>
    <w:rPr>
      <w:rFonts w:ascii="Times New Roman" w:hAnsi="Times New Roman" w:cs="Times New Roman"/>
      <w:b/>
      <w:color w:val="3366FF"/>
      <w:sz w:val="22"/>
    </w:rPr>
  </w:style>
  <w:style w:type="paragraph" w:styleId="Caption">
    <w:name w:val="caption"/>
    <w:basedOn w:val="Normal"/>
    <w:next w:val="Normal"/>
    <w:uiPriority w:val="99"/>
    <w:qFormat/>
    <w:pPr>
      <w:spacing w:line="240" w:lineRule="auto"/>
    </w:pPr>
    <w:rPr>
      <w:b/>
      <w:bCs/>
      <w:color w:val="4F81BD"/>
      <w:sz w:val="18"/>
      <w:szCs w:val="1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locked/>
    <w:rPr>
      <w:rFonts w:cs="Times New Roman"/>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NoSpacing">
    <w:name w:val="No Spacing"/>
    <w:link w:val="NoSpacingChar"/>
    <w:uiPriority w:val="99"/>
    <w:qFormat/>
  </w:style>
  <w:style w:type="paragraph" w:styleId="ListContinue">
    <w:name w:val="List Continue"/>
    <w:basedOn w:val="Normal"/>
    <w:uiPriority w:val="99"/>
    <w:pPr>
      <w:spacing w:after="120" w:line="240" w:lineRule="auto"/>
      <w:ind w:left="360"/>
    </w:pPr>
    <w:rPr>
      <w:rFonts w:ascii="New York" w:eastAsia="Times New Roman" w:hAnsi="New York"/>
      <w:sz w:val="20"/>
      <w:szCs w:val="20"/>
    </w:rPr>
  </w:style>
  <w:style w:type="paragraph" w:styleId="List">
    <w:name w:val="List"/>
    <w:basedOn w:val="Normal"/>
    <w:uiPriority w:val="99"/>
    <w:semiHidden/>
    <w:pPr>
      <w:ind w:left="360" w:hanging="360"/>
      <w:contextualSpacing/>
    </w:pPr>
  </w:style>
  <w:style w:type="paragraph" w:styleId="List2">
    <w:name w:val="List 2"/>
    <w:basedOn w:val="Normal"/>
    <w:uiPriority w:val="99"/>
    <w:semiHidden/>
    <w:pPr>
      <w:ind w:left="720" w:hanging="360"/>
      <w:contextualSpacing/>
    </w:pPr>
  </w:style>
  <w:style w:type="paragraph" w:styleId="Header">
    <w:name w:val="header"/>
    <w:basedOn w:val="Normal"/>
    <w:link w:val="HeaderChar"/>
    <w:uiPriority w:val="99"/>
    <w:semiHidden/>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semiHidden/>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Pr>
      <w:rFonts w:cs="Times New Roman"/>
    </w:rPr>
  </w:style>
  <w:style w:type="paragraph" w:styleId="ListBullet2">
    <w:name w:val="List Bullet 2"/>
    <w:basedOn w:val="Normal"/>
    <w:autoRedefine/>
    <w:uiPriority w:val="99"/>
    <w:pPr>
      <w:spacing w:after="0" w:line="240" w:lineRule="auto"/>
    </w:pPr>
    <w:rPr>
      <w:rFonts w:ascii="Times New Roman" w:eastAsia="Times New Roman" w:hAnsi="Times New Roman"/>
      <w:sz w:val="24"/>
      <w:szCs w:val="24"/>
    </w:rPr>
  </w:style>
  <w:style w:type="paragraph" w:styleId="ListParagraph">
    <w:name w:val="List Paragraph"/>
    <w:basedOn w:val="Normal"/>
    <w:uiPriority w:val="99"/>
    <w:qFormat/>
    <w:pPr>
      <w:ind w:left="720"/>
      <w:contextualSpacing/>
    </w:pPr>
  </w:style>
  <w:style w:type="character" w:customStyle="1" w:styleId="NoSpacingChar">
    <w:name w:val="No Spacing Char"/>
    <w:basedOn w:val="DefaultParagraphFont"/>
    <w:link w:val="NoSpacing"/>
    <w:uiPriority w:val="99"/>
    <w:locked/>
    <w:rPr>
      <w:rFonts w:cs="Times New Roman"/>
      <w:sz w:val="22"/>
      <w:szCs w:val="22"/>
      <w:lang w:val="en-US" w:eastAsia="en-US" w:bidi="ar-SA"/>
    </w:rPr>
  </w:style>
  <w:style w:type="paragraph" w:styleId="TOCHeading">
    <w:name w:val="TOC Heading"/>
    <w:basedOn w:val="Heading1"/>
    <w:next w:val="Normal"/>
    <w:uiPriority w:val="99"/>
    <w:qFormat/>
    <w:pPr>
      <w:outlineLvl w:val="9"/>
    </w:pPr>
  </w:style>
  <w:style w:type="paragraph" w:styleId="TOC1">
    <w:name w:val="toc 1"/>
    <w:basedOn w:val="Normal"/>
    <w:next w:val="Normal"/>
    <w:autoRedefine/>
    <w:uiPriority w:val="99"/>
    <w:pPr>
      <w:spacing w:after="100"/>
    </w:pPr>
  </w:style>
  <w:style w:type="paragraph" w:styleId="TOC2">
    <w:name w:val="toc 2"/>
    <w:basedOn w:val="Normal"/>
    <w:next w:val="Normal"/>
    <w:autoRedefine/>
    <w:uiPriority w:val="99"/>
    <w:pPr>
      <w:spacing w:after="100"/>
      <w:ind w:left="220"/>
    </w:pPr>
  </w:style>
  <w:style w:type="paragraph" w:styleId="TOC3">
    <w:name w:val="toc 3"/>
    <w:basedOn w:val="Normal"/>
    <w:next w:val="Normal"/>
    <w:autoRedefine/>
    <w:uiPriority w:val="99"/>
    <w:pPr>
      <w:spacing w:after="100"/>
      <w:ind w:left="440"/>
    </w:pPr>
  </w:style>
  <w:style w:type="character" w:styleId="Hyperlink">
    <w:name w:val="Hyperlink"/>
    <w:basedOn w:val="DefaultParagraphFont"/>
    <w:uiPriority w:val="99"/>
    <w:rPr>
      <w:rFonts w:cs="Times New Roman"/>
      <w:color w:val="0000FF"/>
      <w:u w:val="single"/>
    </w:rPr>
  </w:style>
  <w:style w:type="paragraph" w:customStyle="1" w:styleId="InsideAddress">
    <w:name w:val="Inside Address"/>
    <w:basedOn w:val="Normal"/>
    <w:uiPriority w:val="99"/>
    <w:pPr>
      <w:spacing w:after="0" w:line="240" w:lineRule="auto"/>
    </w:pPr>
    <w:rPr>
      <w:rFonts w:ascii="New York" w:eastAsia="Times New Roman" w:hAnsi="New York"/>
      <w:sz w:val="20"/>
      <w:szCs w:val="20"/>
    </w:rPr>
  </w:style>
</w:styles>
</file>

<file path=word/webSettings.xml><?xml version="1.0" encoding="utf-8"?>
<w:webSettings xmlns:r="http://schemas.openxmlformats.org/officeDocument/2006/relationships" xmlns:w="http://schemas.openxmlformats.org/wordprocessingml/2006/main">
  <w:divs>
    <w:div w:id="656765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TechSupport@OhioAttorneyGeneral.gov"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TechSupport@OhioAttorneyGeneral.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3E3C6E49B5D941BB4B9130F402FC79" ma:contentTypeVersion="0" ma:contentTypeDescription="Create a new document." ma:contentTypeScope="" ma:versionID="45d2d173855655a4604c1c3990c32ae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E01D848-5B74-4055-B922-D2F79D71576E}"/>
</file>

<file path=customXml/itemProps2.xml><?xml version="1.0" encoding="utf-8"?>
<ds:datastoreItem xmlns:ds="http://schemas.openxmlformats.org/officeDocument/2006/customXml" ds:itemID="{44B37D37-AB8B-4752-9D2E-D699FBDB63BD}"/>
</file>

<file path=customXml/itemProps3.xml><?xml version="1.0" encoding="utf-8"?>
<ds:datastoreItem xmlns:ds="http://schemas.openxmlformats.org/officeDocument/2006/customXml" ds:itemID="{ECD4D98F-41F8-47D0-AFA2-8FC732A19BE2}"/>
</file>

<file path=docProps/app.xml><?xml version="1.0" encoding="utf-8"?>
<Properties xmlns="http://schemas.openxmlformats.org/officeDocument/2006/extended-properties" xmlns:vt="http://schemas.openxmlformats.org/officeDocument/2006/docPropsVTypes">
  <Template>Normal_Wordconv.dotm</Template>
  <TotalTime>12</TotalTime>
  <Pages>13</Pages>
  <Words>3443</Words>
  <Characters>19626</Characters>
  <Application>Microsoft Office Outlook</Application>
  <DocSecurity>0</DocSecurity>
  <Lines>0</Lines>
  <Paragraphs>0</Paragraphs>
  <ScaleCrop>false</ScaleCrop>
  <Company>Office of The Ohio Attorney General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Livescan Electronic Ten-print Interface Specification</dc:title>
  <dc:subject>Version 8.0</dc:subject>
  <dc:creator>State of Ohio A</dc:creator>
  <cp:keywords/>
  <dc:description/>
  <cp:lastModifiedBy>User</cp:lastModifiedBy>
  <cp:revision>7</cp:revision>
  <dcterms:created xsi:type="dcterms:W3CDTF">2010-05-12T12:40:00Z</dcterms:created>
  <dcterms:modified xsi:type="dcterms:W3CDTF">2010-06-01T12:43:00Z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0x010100B03E3C6E49B5D941BB4B9130F402FC79</vt:lpwstr>
  </property>
</Properties>
</file>